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Hadija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Iddi</w:t>
      </w:r>
      <w:proofErr w:type="spellEnd"/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1973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85/1972 (19/74)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Probate and Administration – Limited grant – For purpose of action against deceased – Grant may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made when no suit pending – Indian Succession Act </w:t>
      </w:r>
      <w:r>
        <w:rPr>
          <w:rFonts w:ascii="Times New Roman" w:hAnsi="Times New Roman" w:cs="Times New Roman"/>
          <w:color w:val="000000"/>
        </w:rPr>
        <w:t xml:space="preserve">1865,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222.</w:t>
      </w:r>
    </w:p>
    <w:p w:rsidR="005B18BF" w:rsidRDefault="00A403A9" w:rsidP="00A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B18BF" w:rsidRDefault="005B18BF" w:rsidP="00A40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r>
        <w:rPr>
          <w:rFonts w:ascii="Times New Roman" w:hAnsi="Times New Roman" w:cs="Times New Roman"/>
          <w:color w:val="000000"/>
        </w:rPr>
        <w:t xml:space="preserve">On 7 January 1972 </w:t>
      </w:r>
      <w:proofErr w:type="spellStart"/>
      <w:r>
        <w:rPr>
          <w:rFonts w:ascii="Times New Roman" w:hAnsi="Times New Roman" w:cs="Times New Roman"/>
          <w:color w:val="000000"/>
        </w:rPr>
        <w:t>Krishnalal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Liladhar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Ved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Damyanti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Krishnalal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Ved</w:t>
      </w:r>
      <w:proofErr w:type="spellEnd"/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petitioned the court under s. 222 of the Indian Succession Act 1865 (hereinafter referred to as “the Act”)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issue of letters of administration to their nominee, </w:t>
      </w:r>
      <w:proofErr w:type="spellStart"/>
      <w:r>
        <w:rPr>
          <w:rFonts w:ascii="Times New Roman" w:hAnsi="Times New Roman" w:cs="Times New Roman"/>
          <w:color w:val="000000"/>
        </w:rPr>
        <w:t>Addi</w:t>
      </w:r>
      <w:proofErr w:type="spellEnd"/>
      <w:r>
        <w:rPr>
          <w:rFonts w:ascii="Times New Roman" w:hAnsi="Times New Roman" w:cs="Times New Roman"/>
          <w:color w:val="000000"/>
        </w:rPr>
        <w:t xml:space="preserve"> Bin </w:t>
      </w:r>
      <w:proofErr w:type="spellStart"/>
      <w:r>
        <w:rPr>
          <w:rFonts w:ascii="Times New Roman" w:hAnsi="Times New Roman" w:cs="Times New Roman"/>
          <w:color w:val="000000"/>
        </w:rPr>
        <w:t>Ramdhani</w:t>
      </w:r>
      <w:proofErr w:type="spellEnd"/>
      <w:r>
        <w:rPr>
          <w:rFonts w:ascii="Times New Roman" w:hAnsi="Times New Roman" w:cs="Times New Roman"/>
          <w:color w:val="000000"/>
        </w:rPr>
        <w:t>, the defendant in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 suit, to represent the estate of John </w:t>
      </w:r>
      <w:proofErr w:type="spellStart"/>
      <w:r>
        <w:rPr>
          <w:rFonts w:ascii="Times New Roman" w:hAnsi="Times New Roman" w:cs="Times New Roman"/>
          <w:color w:val="000000"/>
        </w:rPr>
        <w:t>Ovino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Ohulu</w:t>
      </w:r>
      <w:proofErr w:type="spellEnd"/>
      <w:r>
        <w:rPr>
          <w:rFonts w:ascii="Times New Roman" w:hAnsi="Times New Roman" w:cs="Times New Roman"/>
          <w:color w:val="000000"/>
        </w:rPr>
        <w:t>, deceased, limited to the purpose of being made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party to the suits which they proposed to institute in this court for the recovery of special and general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injuries sustained by them in an accident on 13 January 1969 on the Nairobi-Mombasa road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they allege were caused by the negligent and reckless driving by the deceased. The petition went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to recite: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on 10 April 1971 the deceased died at Mombasa, intestate, leaving a widow, the present plaintiff, as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heir and the only person entitled to take representation to his estate;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deceased was unemployed prior to his death and left no assets;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widow had expressed her unwillingness to act and had refused to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 for and obtain a grant of Letters of Administration to represent the deceased. Her memorandum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renunciation was annexed to the petition.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was accompanied by a chamber summons under r. 3 (1) of The High Court (Practice and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Procedure) Rules applying for the matter to be heard urgently. The supporting affidavit of Mr. K. M.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Pandya, advocate, averred: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that on 4 January 1972 it was learnt that the deceased had died on 10 April 1971; and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the time for filing the suit would expire on 13 January 1972.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20 January 1972 the petition was granted as prayed.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22 March 1972 the plaint in the present suit was filed. After reciting the above facts it goes on: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At the time of the death of the deceased no suits were pending in which he was a party, nor was any of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aforesaid intended suits a suit touching the matters at issue in any cause or suit pending at the time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death of the deceased.”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concludes by praying for an order that the grant issued to the defendant in Probate and Administration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Cause 1 of 1972 be revoked or annulled.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raises matters which are no longer in issue. It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denies para. 7 of the plai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nt and states in para. 6: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in the circumstances of the case the court in the exercise of its powers correctly issued to the defendant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 of Letters of Administration limited for the purpose of representing the deceased’s estate in the said two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suits.”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Anjarwalla</w:t>
      </w:r>
      <w:proofErr w:type="spellEnd"/>
      <w:r>
        <w:rPr>
          <w:rFonts w:ascii="Times New Roman" w:hAnsi="Times New Roman" w:cs="Times New Roman"/>
          <w:color w:val="000000"/>
        </w:rPr>
        <w:t>, for the plaintiff, submitted that the issue was limited to a construction of s. 222 of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under which the petition was brought whereas 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>, for the defendant, reserved the option, in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 held that the section did not apply to this suit because of its express terms, that there was a lacuna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Act which should be filled by invoking s. 3 (1)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Judicature Act (Cap. 8). He argued that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a question of the jurisdiction of the court which could not be decided by reference only to s. 222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which did not need to be pleaded.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S.222 of the Act provides: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it is necessary that the representative of a person deceased be made a party to a pending suit, and the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executor or person entitled to administration is unable or unwilling to act, letters of administration may be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granted to the nominee of a party in such suit, limited for the purpose of representing the deceased in the said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suit, or in any other cause or suit which may be commenced in the same or in any other court between the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parties, or any other parties, touching the matters at issue in the said cause or suit, and until a final decree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made therein, and carried into complete execution.”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Anjarwalla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section covered two cases in which representation might be granted to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nominee of the parties in a suit: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where there is a pending suit which is “the said suit” in line seven of the section; or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where a suit may be commenced and that suit is touching the matters at issue in “the said cause or suit”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the pending suit.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suit is defined in s. 2 of the Civil Procedure Act as meaning “all civil proceedings commenced in any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manner prescribed” and “prescribed” </w:t>
      </w:r>
      <w:proofErr w:type="gramStart"/>
      <w:r>
        <w:rPr>
          <w:rFonts w:ascii="Times New Roman" w:hAnsi="Times New Roman" w:cs="Times New Roman"/>
          <w:color w:val="000000"/>
        </w:rPr>
        <w:t>means</w:t>
      </w:r>
      <w:r w:rsidR="00A403A9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“</w:t>
      </w:r>
      <w:proofErr w:type="gramEnd"/>
      <w:r>
        <w:rPr>
          <w:rFonts w:ascii="Times New Roman" w:hAnsi="Times New Roman" w:cs="Times New Roman"/>
          <w:color w:val="000000"/>
        </w:rPr>
        <w:t>prescribed by rules”. S. 81 of the Act provides for the making of rules by a Rules Committee and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Rules, as amended from time to time, were made under that provision. The nature of a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 was considered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Mandavia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Rattan Singh</w:t>
      </w:r>
      <w:r>
        <w:rPr>
          <w:rFonts w:ascii="Times New Roman" w:hAnsi="Times New Roman" w:cs="Times New Roman"/>
          <w:color w:val="000000"/>
        </w:rPr>
        <w:t>, [1968] E.A. 148.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suit is “pending” as soon as commenced and until it is concluded: </w:t>
      </w:r>
      <w:r>
        <w:rPr>
          <w:rFonts w:ascii="Times New Roman" w:hAnsi="Times New Roman" w:cs="Times New Roman"/>
          <w:i/>
          <w:iCs/>
          <w:color w:val="000000"/>
        </w:rPr>
        <w:t>Stroud’s Judicial Dictionary</w:t>
      </w:r>
      <w:r>
        <w:rPr>
          <w:rFonts w:ascii="Times New Roman" w:hAnsi="Times New Roman" w:cs="Times New Roman"/>
          <w:color w:val="000000"/>
        </w:rPr>
        <w:t>, 3rd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ed., Vol. 3, p. 2141.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not in dispute that there </w:t>
      </w:r>
      <w:r>
        <w:rPr>
          <w:rFonts w:ascii="Times New Roman" w:hAnsi="Times New Roman" w:cs="Times New Roman"/>
          <w:color w:val="000000"/>
        </w:rPr>
        <w:lastRenderedPageBreak/>
        <w:t>was no pending suit when the applicants petitioned for a limited grant for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 of filing a suit.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second limb of s. 222 Mr. </w:t>
      </w:r>
      <w:proofErr w:type="spellStart"/>
      <w:r>
        <w:rPr>
          <w:rFonts w:ascii="Times New Roman" w:hAnsi="Times New Roman" w:cs="Times New Roman"/>
          <w:color w:val="000000"/>
        </w:rPr>
        <w:t>Anjarwalla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the words “in the said cause or suit” in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tenth line refer to the earlier mention of the word “suit” and by such reference it must be confined to a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cause or suit. A new suit may be commenced provided that it is touching the matters at issue in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pending cause or matter. For example the applicants might wish to sue another party in a suit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pending. A new suit will be touching all the matters in issue between the parties and not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at issue in the said cause or matter.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pointed out that if this construction is correct the applicants would be completely without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remedy against a wrongdoer who is dead at the time the suit is sought to be filed and whose heir has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renounced his or her right to apply for letters of administration of the estate. For instance if B and C were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in a car driven by A and were injured in an accident as a result of A’s negligent driving and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killed in the accident then unless his heirs take out letters of administration B and C would have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legal remedy for damages caused by A’s negligence. 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that, while s. 222 is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inelegantly drafted, it deals with two situations: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relates to a suit which is already pending; and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relates to a suit which is intended to be filed.</w:t>
      </w:r>
      <w:r w:rsidR="00A403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stresses the distinction between the words “or in any other cause or matter” in line seven with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 “suit” in the earlier part of the section. The words “in the said cause or matter” in line ten can only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“any other cause or matter” which appear earlier. Otherwise if they were referring to a pending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the words would have been “said suit” or “said pending suit”. The other cause or suit does not have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in the same court or between the same parties as in a pending suit. It covers a suit which may be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 arising out of a dispute between the parties. There is no justification for limiting the words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“touching the matters at issue in the said cause or suit” to a pending suit.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that s. 222 of the Act has been in existence since at least 1865 and bearing in mind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High Courts in India there is a remarkable dearth of authority on its construction. In the Indian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Succession Act 1925 it is reproduced as s. 251 and the commentary by </w:t>
      </w:r>
      <w:proofErr w:type="spellStart"/>
      <w:r>
        <w:rPr>
          <w:rFonts w:ascii="Times New Roman" w:hAnsi="Times New Roman" w:cs="Times New Roman"/>
          <w:color w:val="000000"/>
        </w:rPr>
        <w:t>Paruck</w:t>
      </w:r>
      <w:proofErr w:type="spellEnd"/>
      <w:r>
        <w:rPr>
          <w:rFonts w:ascii="Times New Roman" w:hAnsi="Times New Roman" w:cs="Times New Roman"/>
          <w:color w:val="000000"/>
        </w:rPr>
        <w:t>, 4th ed., p. 487 merely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says: “The suit may be one already filed or intended to be filed”. It refers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Khotodad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Bai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Jerbai</w:t>
      </w:r>
      <w:proofErr w:type="spellEnd"/>
      <w:r w:rsidR="00A403A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(1938), 62 </w:t>
      </w:r>
      <w:proofErr w:type="spellStart"/>
      <w:r>
        <w:rPr>
          <w:rFonts w:ascii="Times New Roman" w:hAnsi="Times New Roman" w:cs="Times New Roman"/>
          <w:color w:val="000000"/>
        </w:rPr>
        <w:t>Bom</w:t>
      </w:r>
      <w:proofErr w:type="spellEnd"/>
      <w:r>
        <w:rPr>
          <w:rFonts w:ascii="Times New Roman" w:hAnsi="Times New Roman" w:cs="Times New Roman"/>
          <w:color w:val="000000"/>
        </w:rPr>
        <w:t>. 64 but that case is of no real assistance as it dealt with the substitution of a deceased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in a pending suit. In </w:t>
      </w:r>
      <w:r>
        <w:rPr>
          <w:rFonts w:ascii="Times New Roman" w:hAnsi="Times New Roman" w:cs="Times New Roman"/>
          <w:i/>
          <w:iCs/>
          <w:color w:val="000000"/>
        </w:rPr>
        <w:t xml:space="preserve">The Law of Succession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Bashu</w:t>
      </w:r>
      <w:proofErr w:type="spellEnd"/>
      <w:r>
        <w:rPr>
          <w:rFonts w:ascii="Times New Roman" w:hAnsi="Times New Roman" w:cs="Times New Roman"/>
          <w:color w:val="000000"/>
        </w:rPr>
        <w:t>, 4th ed., p. 732 the scope of the section is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to cover commencing or substantiating proceedings in Chancery and it goes on to refer to English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cases. In </w:t>
      </w:r>
      <w:r>
        <w:rPr>
          <w:rFonts w:ascii="Times New Roman" w:hAnsi="Times New Roman" w:cs="Times New Roman"/>
          <w:i/>
          <w:iCs/>
          <w:color w:val="000000"/>
        </w:rPr>
        <w:t>Gibbs v. Roy</w:t>
      </w:r>
      <w:r>
        <w:rPr>
          <w:rFonts w:ascii="Times New Roman" w:hAnsi="Times New Roman" w:cs="Times New Roman"/>
          <w:color w:val="000000"/>
        </w:rPr>
        <w:t>, 85 C.L.J. 280 it was decided that “rationally the appointment of an administrator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 litem is to enable the court to make a decree in respect of a person who is dead so that the decree may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binding on his estate. It is a matter of convenience and procedure and when the claim against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 is about to be barred by limitation, it is also matter of necessity”. There the defendant was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under s. 251 of the 1925 Act “in a suit to be commenced” by the plaintiff and the judgment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that this is the usual form in which a grant is made to an administrator ad litem. Although this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binding on the courts in Kenya it is a persuasive authority and in the interests of uniform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an Act which is applicable in both countries I think that I should follow it.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 agree with Mr. </w:t>
      </w:r>
      <w:proofErr w:type="spellStart"/>
      <w:r>
        <w:rPr>
          <w:rFonts w:ascii="Times New Roman" w:hAnsi="Times New Roman" w:cs="Times New Roman"/>
          <w:color w:val="000000"/>
        </w:rPr>
        <w:t>Inamdar’s</w:t>
      </w:r>
      <w:proofErr w:type="spellEnd"/>
      <w:r>
        <w:rPr>
          <w:rFonts w:ascii="Times New Roman" w:hAnsi="Times New Roman" w:cs="Times New Roman"/>
          <w:color w:val="000000"/>
        </w:rPr>
        <w:t xml:space="preserve"> construction of the section it becomes un-necessary for me to reach any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 conclusion on his second argument which assumes that s. 222 of the Act did not cover the present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The petition was fairly and squarely based on s. 222 and I doubt whether outside provisions can or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be invoked to justify the grant. Of course it would be futile for the petitioners to apply at this stage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amend their petition or to bring a fresh petition as the suit would be time barred.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 in deference to Mr. </w:t>
      </w:r>
      <w:proofErr w:type="spellStart"/>
      <w:r>
        <w:rPr>
          <w:rFonts w:ascii="Times New Roman" w:hAnsi="Times New Roman" w:cs="Times New Roman"/>
          <w:color w:val="000000"/>
        </w:rPr>
        <w:t>Inamdar’s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and as I think it helps to consider the position of an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administrator ad litem I will try and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 xml:space="preserve"> it.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the High Court is set out in s. 3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Judicature Act.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Indian Succession Act is a written law falling under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if it is not exhaustive in any particular matter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recourse may be had under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to the substance of the common law, doctrines of equity and statutes of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general application in force in England on the 12 August 1897. He referred to </w:t>
      </w:r>
      <w:r>
        <w:rPr>
          <w:rFonts w:ascii="Times New Roman" w:hAnsi="Times New Roman" w:cs="Times New Roman"/>
          <w:i/>
          <w:iCs/>
          <w:color w:val="000000"/>
        </w:rPr>
        <w:t>Secretary of State for</w:t>
      </w:r>
      <w:r w:rsidR="00A403A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Foreign Affairs v. Charlesworth, Pilling</w:t>
      </w:r>
      <w:r>
        <w:rPr>
          <w:rFonts w:ascii="Times New Roman" w:hAnsi="Times New Roman" w:cs="Times New Roman"/>
          <w:color w:val="000000"/>
        </w:rPr>
        <w:t xml:space="preserve">, [1901] A.C. 373 and </w:t>
      </w:r>
      <w:r>
        <w:rPr>
          <w:rFonts w:ascii="Times New Roman" w:hAnsi="Times New Roman" w:cs="Times New Roman"/>
          <w:i/>
          <w:iCs/>
          <w:color w:val="000000"/>
        </w:rPr>
        <w:t xml:space="preserve">Said bin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Seif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Shariff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Shatry</w:t>
      </w:r>
      <w:proofErr w:type="spellEnd"/>
      <w:r w:rsidR="00A403A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(1940), 19 K.L.R. 9 which considered situations which might arise where the appropriate Indian Applied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might not fit the case and recourse might be had to para.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s. 3 (1) of the judicature Act. Mr.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pointed out that the Act which was to amend and define the Law of Intestate and Testamentary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Succession in British India was not a Consolidating Act and therefore was not exhaustive and recourse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be had to other enactments, or general principles of law, on points not covered by it: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Das’s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The</w:t>
      </w:r>
      <w:r w:rsidR="00A403A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Arbitration Act</w:t>
      </w:r>
      <w:r>
        <w:rPr>
          <w:rFonts w:ascii="Times New Roman" w:hAnsi="Times New Roman" w:cs="Times New Roman"/>
          <w:color w:val="000000"/>
        </w:rPr>
        <w:t xml:space="preserve">, 2nd ed., p. 3. On the other hand Mr. </w:t>
      </w:r>
      <w:proofErr w:type="spellStart"/>
      <w:r>
        <w:rPr>
          <w:rFonts w:ascii="Times New Roman" w:hAnsi="Times New Roman" w:cs="Times New Roman"/>
          <w:color w:val="000000"/>
        </w:rPr>
        <w:t>Anjarwalla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to the </w:t>
      </w:r>
      <w:r>
        <w:rPr>
          <w:rFonts w:ascii="Times New Roman" w:hAnsi="Times New Roman" w:cs="Times New Roman"/>
          <w:color w:val="000000"/>
        </w:rPr>
        <w:lastRenderedPageBreak/>
        <w:t>elaborate provisions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limited grants in Part XXX of the Act. In England the Court of Probate Act 1857, s. 73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enabled the Probate Court to make a limited grant where “it is necessary or convenient by reason of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insolvency of the estate . . . or other special circumstances, to appoint some person to be administrator of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personal estate of the deceased other than the person who would have been entitled to the grant”: </w:t>
      </w:r>
      <w:r>
        <w:rPr>
          <w:rFonts w:ascii="Times New Roman" w:hAnsi="Times New Roman" w:cs="Times New Roman"/>
          <w:i/>
          <w:iCs/>
          <w:color w:val="000000"/>
        </w:rPr>
        <w:t>In</w:t>
      </w:r>
      <w:r w:rsidR="00A403A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 Elizabeth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Wensley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(1882), 7 P.D. 13. </w:t>
      </w:r>
      <w:r>
        <w:rPr>
          <w:rFonts w:ascii="Times New Roman" w:hAnsi="Times New Roman" w:cs="Times New Roman"/>
          <w:i/>
          <w:iCs/>
          <w:color w:val="000000"/>
        </w:rPr>
        <w:t>In the estate of A. B. Simpson</w:t>
      </w:r>
      <w:r>
        <w:rPr>
          <w:rFonts w:ascii="Times New Roman" w:hAnsi="Times New Roman" w:cs="Times New Roman"/>
          <w:color w:val="000000"/>
        </w:rPr>
        <w:t>, [1936] P. 40 a similar grant was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where the deceased’s only estate was the benefit of a third party indemnity policy effected with a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Insurance Company and the person injured in the accident desired to claim damages against the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estate of the deceased, as in the present case. Similarly in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goods of Knight</w:t>
      </w:r>
      <w:r>
        <w:rPr>
          <w:rFonts w:ascii="Times New Roman" w:hAnsi="Times New Roman" w:cs="Times New Roman"/>
          <w:color w:val="000000"/>
        </w:rPr>
        <w:t>, [1939] 3 All E.R. 928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grant was made to the Official Solicitor limited to his defending the proposed action.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 reason for believing that s. 222 of the Act was not designed for the same purpose as s. 73 of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Probate Act 1857, as subsequently amended, and that this purpose is reflected in its wording.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is dismissed with costs.</w:t>
      </w:r>
      <w:r w:rsidR="00A403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Anjarwalla</w:t>
      </w:r>
      <w:proofErr w:type="spellEnd"/>
    </w:p>
    <w:p w:rsidR="005B18BF" w:rsidRDefault="005B18BF" w:rsidP="005B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64035" w:rsidRDefault="005B18BF" w:rsidP="005B18BF">
      <w:r>
        <w:rPr>
          <w:rFonts w:ascii="Times New Roman" w:hAnsi="Times New Roman" w:cs="Times New Roman"/>
          <w:i/>
          <w:iCs/>
          <w:color w:val="000000"/>
        </w:rPr>
        <w:t xml:space="preserve">IT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PS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Talati</w:t>
      </w:r>
      <w:proofErr w:type="spellEnd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F"/>
    <w:rsid w:val="005B18BF"/>
    <w:rsid w:val="00664035"/>
    <w:rsid w:val="00A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E678-2F16-48FC-8C79-099DA863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2018-07-05T12:56:00Z</dcterms:created>
  <dcterms:modified xsi:type="dcterms:W3CDTF">2018-07-12T12:42:00Z</dcterms:modified>
</cp:coreProperties>
</file>