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May 2004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44/04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Murder – Provocation – Whether quarrelling and abuse constitute provocation – Whether person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provoked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convicted of murder or manslaughter.</w:t>
      </w:r>
    </w:p>
    <w:p w:rsidR="00DC7174" w:rsidRDefault="00C555CF" w:rsidP="00C55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C7174" w:rsidRDefault="00DC7174" w:rsidP="00C555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RAMADHANI, NSEKELA AND MSOFFE JJA: </w:t>
      </w:r>
      <w:r>
        <w:rPr>
          <w:rFonts w:ascii="Times New Roman" w:hAnsi="Times New Roman" w:cs="Times New Roman"/>
          <w:color w:val="000000"/>
        </w:rPr>
        <w:t xml:space="preserve">The appellant had been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for more than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months and upon his discharge he went home where he found his wife, </w:t>
      </w:r>
      <w:proofErr w:type="spellStart"/>
      <w:r>
        <w:rPr>
          <w:rFonts w:ascii="Times New Roman" w:hAnsi="Times New Roman" w:cs="Times New Roman"/>
          <w:color w:val="000000"/>
        </w:rPr>
        <w:t>Gerwanda</w:t>
      </w:r>
      <w:proofErr w:type="spellEnd"/>
      <w:r>
        <w:rPr>
          <w:rFonts w:ascii="Times New Roman" w:hAnsi="Times New Roman" w:cs="Times New Roman"/>
          <w:color w:val="000000"/>
        </w:rPr>
        <w:t xml:space="preserve"> daughter of Joseph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Henjewele</w:t>
      </w:r>
      <w:proofErr w:type="spellEnd"/>
      <w:r>
        <w:rPr>
          <w:rFonts w:ascii="Times New Roman" w:hAnsi="Times New Roman" w:cs="Times New Roman"/>
          <w:color w:val="000000"/>
        </w:rPr>
        <w:t xml:space="preserve">, the deceased, and his daughter </w:t>
      </w:r>
      <w:proofErr w:type="spellStart"/>
      <w:r>
        <w:rPr>
          <w:rFonts w:ascii="Times New Roman" w:hAnsi="Times New Roman" w:cs="Times New Roman"/>
          <w:color w:val="000000"/>
        </w:rPr>
        <w:t>Felista</w:t>
      </w:r>
      <w:proofErr w:type="spellEnd"/>
      <w:r>
        <w:rPr>
          <w:rFonts w:ascii="Times New Roman" w:hAnsi="Times New Roman" w:cs="Times New Roman"/>
          <w:color w:val="000000"/>
        </w:rPr>
        <w:t xml:space="preserve"> Kevin </w:t>
      </w:r>
      <w:proofErr w:type="spellStart"/>
      <w:r>
        <w:rPr>
          <w:rFonts w:ascii="Times New Roman" w:hAnsi="Times New Roman" w:cs="Times New Roman"/>
          <w:color w:val="000000"/>
        </w:rPr>
        <w:t>Haule</w:t>
      </w:r>
      <w:proofErr w:type="spellEnd"/>
      <w:r>
        <w:rPr>
          <w:rFonts w:ascii="Times New Roman" w:hAnsi="Times New Roman" w:cs="Times New Roman"/>
          <w:color w:val="000000"/>
        </w:rPr>
        <w:t xml:space="preserve"> (PW3). The appellant saw four chickens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had not left behind when he went to hospital and so he asked the deceased where the birds had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from. The deceased replied “rudely” according to the investigator DC Michael (PW2). Their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daughter, PW3, the only witness, said that after that enquiry by the appellant, “they </w:t>
      </w:r>
      <w:proofErr w:type="spellStart"/>
      <w:r>
        <w:rPr>
          <w:rFonts w:ascii="Times New Roman" w:hAnsi="Times New Roman" w:cs="Times New Roman"/>
          <w:color w:val="000000"/>
        </w:rPr>
        <w:t>quarrelled</w:t>
      </w:r>
      <w:proofErr w:type="spellEnd"/>
      <w:r>
        <w:rPr>
          <w:rFonts w:ascii="Times New Roman" w:hAnsi="Times New Roman" w:cs="Times New Roman"/>
          <w:color w:val="000000"/>
        </w:rPr>
        <w:t>, father and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mother. They were abusing each other.” The appellant himself said “… and she asked me if I could ask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everything [I] ate at home”.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after that altercation that the appellant picked up a piece of wood measuring 75cm long by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20cm diameter, according to the investigator, PW2, and struck the deceased on the head.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story satisfied the </w:t>
      </w:r>
      <w:r w:rsidR="00C555CF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who found the appellant guilty of murder as charged and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him to death. The appellant is aggrieved and hence this appeal in which he was represented by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counsel, and the respondent/republic was represented for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State Attorney.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presented a sole ground of appeal; “in the circumstances of this case, the appellant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convicted of manslaughter and not of murder.” The learned advocate pointed out that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sole eyewitness, PW3, said that “They were abusing each other” and that the investigator, PW2, said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told by the appellant that there was an exchange of harsh words. The learned advocate said that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harsh words or abuses were not mentioned in court. He pointed out further that words could be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provocative as was decided by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Tarimo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[1993] TLR 142. He asked us to find that there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provocation.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there was no provocation. He submitted that the only words spoken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those which the appellant himself said that the deceased asked him why he did not ask about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everything he ate at home. The Learned State Attorney went further to point out that PW2 merely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repeated what he was told by the appellant himself.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issue here is whether or not there was provocation. But first of all what is provocation in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law?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202 of the Penal Code (chapter 16) provides: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202 The “term provocation” means and includes, except as hereinafter stated any wrongful act or insult of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 nature as to be likely, when done to an ordinary person, or in the presence of an ordinary person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another person who is under his immediate care, or to whom he stands in conjugal, parental, filial or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fraternal relation, or in the relation of master or servant, to deprive him of the power of self-control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to induce him to commit an assault of the kind which the person charged committed upon the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by whom the act or insult is done or offered.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such an act or insult is done or offered by one person to another, or in the presence of another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 person who is under the immediate care of that other, or to whom the latter stands in any such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relation as aforesaid, the former is said to give the latter provocation for an assault.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there were utterances which the appellant claims to have provoked him. As already said, we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two versions: one, of the daughter, PW3, which does not say much but that her parents abused each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other. Then we have the account of the appellant that after he had asked the deceased where she got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chickens, the deceased retorted whether he, the appellant, that is, had always asked where the food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ate came from. This reply is what made the appellant lose his self-control and hit the deceased. Was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reply an insult under section 202 quoted above?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</w:t>
      </w:r>
      <w:r>
        <w:rPr>
          <w:rFonts w:ascii="Times New Roman" w:hAnsi="Times New Roman" w:cs="Times New Roman"/>
          <w:i/>
          <w:iCs/>
          <w:color w:val="000000"/>
        </w:rPr>
        <w:t xml:space="preserve">Oxford Advanced Learner’s Dictionary </w:t>
      </w:r>
      <w:r>
        <w:rPr>
          <w:rFonts w:ascii="Times New Roman" w:hAnsi="Times New Roman" w:cs="Times New Roman"/>
          <w:color w:val="000000"/>
        </w:rPr>
        <w:t xml:space="preserve">(6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2000, an “insult” is “a remark or an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that is said or done in order to offend somebody.” If that is so, then we have no difficulty to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as “insults” under the provisions of section 202 the so called “harsh words” or “abuses.”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is if the insults are of such a nature likely to deprive the appellant the power of </w:t>
      </w:r>
      <w:r w:rsidR="00C555CF">
        <w:rPr>
          <w:rFonts w:ascii="Times New Roman" w:hAnsi="Times New Roman" w:cs="Times New Roman"/>
          <w:color w:val="000000"/>
        </w:rPr>
        <w:t>self-control</w:t>
      </w:r>
      <w:r>
        <w:rPr>
          <w:rFonts w:ascii="Times New Roman" w:hAnsi="Times New Roman" w:cs="Times New Roman"/>
          <w:color w:val="000000"/>
        </w:rPr>
        <w:t xml:space="preserve"> and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induce him to commit such assault on the deceased? In short, were the insults provocative?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litmus test of whether or not an insult was </w:t>
      </w:r>
      <w:r>
        <w:rPr>
          <w:rFonts w:ascii="Times New Roman" w:hAnsi="Times New Roman" w:cs="Times New Roman"/>
          <w:color w:val="000000"/>
        </w:rPr>
        <w:lastRenderedPageBreak/>
        <w:t>provocative, according to section 202, is the ordinary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who is defined as follows: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purpose of this section the expression “an ordinary person” shall mean an ordinary person of the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community to which the accused belongs.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What an ordinary person of the community of the appellant would or would not do is in the province of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assessors. So, that question had to be put to the assessors for a specific determination. Was that done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case? We are aware of what this Court said in </w:t>
      </w:r>
      <w:r>
        <w:rPr>
          <w:rFonts w:ascii="Times New Roman" w:hAnsi="Times New Roman" w:cs="Times New Roman"/>
          <w:i/>
          <w:iCs/>
          <w:color w:val="000000"/>
        </w:rPr>
        <w:t xml:space="preserve">Gandhi and others v R </w:t>
      </w:r>
      <w:r>
        <w:rPr>
          <w:rFonts w:ascii="Times New Roman" w:hAnsi="Times New Roman" w:cs="Times New Roman"/>
          <w:color w:val="000000"/>
        </w:rPr>
        <w:t>[1996] TLR 12.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word “may” in section 283(1) of the Criminal Procedure Code (now section 298(1) of the Criminal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Act of 1985 is unambiguous and crystal clear;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thus the trial Judge’s summing of the case to his assessors is not mandatory, but is prudent as a matter of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our opinion that, apart from summing up being prudent, once the Learned Judge has decided to sum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then it should be thorough. In the present case the Learned Judge summed up as follows in relevant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places: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said that he was provoked by the sight of 4 chickens having previous knowledge that his late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wife had sexual affairs with one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reasonably believed that those 4 chickens might have been given to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deceased by the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Besides that he was more angered by the reply of the deceased when asked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where the chickens were from and the answer he got that “you have been eating many other things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asking where they came from, why today ask about the chickens”.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Likewise, the learned counsel for the accused have submitted that this Court should admit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provocation so that it could find the accused guilty of a lesser offence that is manslaughter and not murder.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now your duty to give me your independent opinion, as to whether you believe from the evidence that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maliciously killed the deceased or it was by bad luck as he said, so that he is found guilty of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manslaughter.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summing up it does not appear to us that the assessors were told what constitutes provocation in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as provided by section 202 of the Penal Code. Again the last paragraph did not charge the assessors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specific duty of making a finding of whether or not there was provocation, that is, whether that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 by the deceased would have made an ordinary person in the community to lose his self-control and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what the appellant did. Then, the directive of the Learned Judge that the assessors were to make a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of whether the appellant killed “by bad luck as he said” was, in our opinion, misleading.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misdirection is clearly manifested, for example, in the muddled opinion of the first assessor,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 w:rsidR="00C555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Akwinatha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Hyera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Lord, from the evidence, there is no dispute as to the death of the deceased. The accused, by bad luck he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hospitalised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over two months and might have been affected by the drugs, he got at the hospital, on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angered, he could without reasoning cause the death of the deceased. Finally, I leave it to the Court for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decision.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assessor talks of “being angered”, did she find that there was legal provocation and if so, what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was she leaving to the Court to make? The second assessor, on the other hand, considered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presence of the chickens and he then said “[the appellant] should not have taken the club and beat his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wife, he was to refer the matter to the authority.” Is that the same as saying that there was no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provocation? It would appear that the </w:t>
      </w:r>
      <w:r w:rsidR="00C555CF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took it to mean so when he said.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agree with the opinion of the gentleman assessor that these words 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>spoken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deceased could not amount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provocation, but were fair comments by the deceased.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If the words spoken by the deceased “were fair comments”, as the Learned Judge understood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gentlemen assessor to have said, we ask: why did the gentleman assessor find it necessary for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“to refer the matter to the authority?” Why do you refer a fair comment to authorities?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Besides that the Learned Judge did not at all discuss the opinion of the first assessor who as we have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said, found that the appellant was “angered”.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our opinion that had the Learned Judge properly addressed the assessors on what provocation is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then charged them specifically to make a finding of whether or not there was provocation,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 would have come out more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clearly. It is clear to us that there was a great probability that the appellant was provoked from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PW3 that her parents </w:t>
      </w:r>
      <w:proofErr w:type="spellStart"/>
      <w:r>
        <w:rPr>
          <w:rFonts w:ascii="Times New Roman" w:hAnsi="Times New Roman" w:cs="Times New Roman"/>
          <w:color w:val="000000"/>
        </w:rPr>
        <w:t>quarrelled</w:t>
      </w:r>
      <w:proofErr w:type="spellEnd"/>
      <w:r>
        <w:rPr>
          <w:rFonts w:ascii="Times New Roman" w:hAnsi="Times New Roman" w:cs="Times New Roman"/>
          <w:color w:val="000000"/>
        </w:rPr>
        <w:t xml:space="preserve"> and abused each other and from what the appellant said that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answered him. So, we find that there was provocation.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us to the decision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Michael alias Tall v R </w:t>
      </w:r>
      <w:r>
        <w:rPr>
          <w:rFonts w:ascii="Times New Roman" w:hAnsi="Times New Roman" w:cs="Times New Roman"/>
          <w:color w:val="000000"/>
        </w:rPr>
        <w:t>[1994] TLR 195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it was said that malice aforethought may be inferred from the amount of force which an offender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employs in inflicting fatal injury. He used that decision as authority for his contention that because of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 used by the appellant, the number of times he used it and the fact that he struck the head,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vulnerable part of the body, then, even if there was provocation, the appellant used excessive force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so, it was murder.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this Court said in </w:t>
      </w:r>
      <w:r>
        <w:rPr>
          <w:rFonts w:ascii="Times New Roman" w:hAnsi="Times New Roman" w:cs="Times New Roman"/>
          <w:i/>
          <w:iCs/>
          <w:color w:val="000000"/>
        </w:rPr>
        <w:t xml:space="preserve">Michael </w:t>
      </w:r>
      <w:r>
        <w:rPr>
          <w:rFonts w:ascii="Times New Roman" w:hAnsi="Times New Roman" w:cs="Times New Roman"/>
          <w:color w:val="000000"/>
        </w:rPr>
        <w:t>is valid. In fact malice aforethought can be inferred not only from the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of force used but also from the weapon used, and the vulnerability of the part of the body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attacked. However, those factors do not negate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provocation. We said so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</w:t>
      </w:r>
      <w:r w:rsidR="00C555C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[1995] TLR 178.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Normally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provocation is available in circumstances which would otherwise constitute murder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except for the sudden loss of control of oneself as a result of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some act which provokes the accused person.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may add here that by definition killing on provocation is murder which is reduced to manslaughter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of provocation. Section 201 provides: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201.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 hen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person who unlawfully kills another under circumstances which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, but for the provisions of this</w:t>
      </w:r>
      <w:r w:rsidR="00C555C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section would constitute murder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does the act which causes death in the heat of passion caused by the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sudden provocation as hereinafter defined, and before there is time for his passion to cool, he is guilty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manslaughter only.</w:t>
      </w:r>
      <w:r w:rsidR="00C555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can put it in mathematical terms that: killing on provocation is manslaughter and is equal to murder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plus provocation.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find that the appellant killed on provocation and we, therefore, convict him of manslaughter.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into account the time he has already spent in custody, it is our opinion that a sentence of a term of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for five years will meet the justice of the case. It is so ordered.</w:t>
      </w:r>
      <w:r w:rsidR="00C55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Mkumbe</w:t>
      </w:r>
      <w:proofErr w:type="spellEnd"/>
    </w:p>
    <w:p w:rsidR="00DC7174" w:rsidRDefault="00DC7174" w:rsidP="00DC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97396" w:rsidRDefault="00DC7174" w:rsidP="00DC7174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Manyanda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State Attorney instructed by Attorney-General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74"/>
    <w:rsid w:val="00C555CF"/>
    <w:rsid w:val="00DC717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ACCC-5393-433A-A90F-912C5317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2018-07-03T13:49:00Z</dcterms:created>
  <dcterms:modified xsi:type="dcterms:W3CDTF">2018-07-12T13:05:00Z</dcterms:modified>
</cp:coreProperties>
</file>