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Hawkesworth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October 1974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30/1974 (114/74)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Nyarangi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Nyarangi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Res judicata – Claim in respect of different management orders –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Not res judicata.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Compensation – Claim against government for compensation in respect of management order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tort – Agriculture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318)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187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779F0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5779F0" w:rsidRDefault="005779F0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779F0" w:rsidRDefault="00B06B2C" w:rsidP="005779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The appellant’s late husband was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two farms, comprised in L.R. 3805 and L.R. 7059/2. Under a management order dated 9 August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1965 issued under s. 187 of the Agriculture Act (Cap. 318) the Central Agriculture Board took over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of both the farms L.R. 3805 and L.R. 7059/2. Farm L.R. 7059/2 was sold in February 1967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appellant’s late husband’s consent, and the management order in respect of farm L.R. 3805 was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revoked in June 1967, and the farm reverted to the owner.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another management order under the Agriculture Act dated 15 December 1969 the Central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Agriculture Board again took over the management of farm L.R. 3805 sometime in January 1970.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September 1970 the appellant’s late husband filed an action against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of Kenya as the representative of the Government of Kenya, claiming (after due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amendment) a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38,306/95 for losses allegedly suffered by him as a result of the management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issued by the government dated 15 December 1969. A consent judgment for the plaintiff in that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13,600/- together with costs was entered on 22 June 1973. I may mention that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then represented by an advocate in the action.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March 1973 in her capacity as sole executrix of her late husband, filed a plaint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Attorney-General of Kenya claiming a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35,000/- in respect of losses allegedly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by her as a result of the two management orders dated 9 August 1965 and 15 December 1969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respectively. A notice of motion to strike off the plaint (with subsequent amendments) was filed by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Attorney-General, as far as I can make out from the record (including the original file) sometime in or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June 1973. At this stage I must point out that the record of appeal filed is most unsatisfactory and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sketchy. However, the appellant was not legally represented; she was represented by one Mr. Arnell who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as her agent. In these circumstances, in order to assist the court the respondent should have filed a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supplementary record giving a clear and accurate picture of the proceedings. This however was not done,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 has been quite difficult to ascertain some relevant facts.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Sometime in August 1973 after the notice of motion to strike off was filed, the appellant purported to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 her plaint, apparently without seeking or obtaining leave, by deleting the management order dated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15 December 1969, and reducing the claim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33,000/-. The judge in his ruling on the motion to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off would appear to have disregarded the purported amendment, as he stated that the plaint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farms L.R. 3805 and L.R. 7059/2, thus clearly implying that the plaint was in respect of two,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one, management orders.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amended notice of motion to strike off the plaint was based on the ground that the matter in suit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res judicata, and that the plaint was frivolous and vexatious and an abuse of court process.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should have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plaint pleading res judicata, see O. 6 r. 4 Civil Procedure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 However, Mr. Sharma for the respondent has submitted that he had filed a notice of motion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instead of a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order to save time and expense, but he was already in default.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however, could not have obtained judgment in default as there had been no compliance with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O. 9A r. 7 of the Civil Procedure Rules. The judge could have rejected the notice of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motion, but he had jurisdiction to deal with it, and he did so.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motion Mr. Sharma submitted to the judge that the matter was res judicata, in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 of the </w:t>
      </w:r>
      <w:r>
        <w:rPr>
          <w:rFonts w:ascii="Times New Roman" w:hAnsi="Times New Roman" w:cs="Times New Roman"/>
          <w:color w:val="000000"/>
        </w:rPr>
        <w:lastRenderedPageBreak/>
        <w:t>consent judgment in the earlier suit. However he also raised the issue of limitation and called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judge’s attention to the Public Officers Protection Act (Cap. 186). This issue of limitation was not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the notice of motion, nor in the supporting affidavits. Mr. Sharma in answer to this court,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 that he did not raise the issue of limitation in the notice of motion because in the original plaint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suing in respect of both the management orders, and limitation might not have applied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management order dated 15 December 1969. The appellant had purported to amend her plaint by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deleting the reference to the management order of 15 December 1969, and Mr. Sharma submitted, in that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event, the action based solely on the management order dated 9 August 1965 was barred by limitation. I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that is a reasonable explanation. In any case no objection to this issue being raised was taken by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or the judge, and even if prior notice was required, such notice could be considered to have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waived by the appellant. Furthermore the appellant has specially dealt with this issue of limitation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her written arguments in support of her appeal. However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did not deal with this issue, although he did mention it in passing in his ruling. The judge allowed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motion on the issue of res judicata with costs and ordered the appellant’s plaint to be struck off and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dismissed. From that order the appellant has appealed.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7 of the Civil Procedure Act deals with res judicata. It reads: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Court shall try any suit or issue in which the matter directly and substantially in issue has been directly</w:t>
      </w:r>
      <w:r w:rsidR="005779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substantially in issue in a former suit between the same parties, or between the parties under whom they</w:t>
      </w:r>
      <w:r w:rsidR="005779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any of them claim, litigating under the same title, in a court competent to try such subsequent suit or the</w:t>
      </w:r>
      <w:r w:rsidR="005779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 in which such issue has been subsequently raised, and has been heard and finally decided by such court.”</w:t>
      </w:r>
      <w:r w:rsidR="005779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number of “explanations” follow, and only explanation (4) concerns us. It reads: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“(4) Any matter which might and ought to have been made ground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attack in such former suit</w:t>
      </w:r>
      <w:r w:rsidR="005779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deemed to have been a matter directly and substantially in issue in such suit.”</w:t>
      </w:r>
      <w:r w:rsidR="005779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previous case only dealt with the claim in respect of L.R. 3805 and the management order dated 15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1969. I think that the appellant’s late husband could have, in that same suit, also dealt with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L.R. 7059/2 and the management order dated 9 August 1965 at the same time. However he did not do so.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question is, ought </w:t>
      </w: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have done so?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management orders relate to two different transactions. The management order dated 9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1965 referred to two farms L.R. 3805 and L.R. 7059/2, for a period from the date of possession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the order was revoked in 1967. Acts of omission or commission giving rise to losses, if any, during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period, in relation to L.R. 3805, and to L.R. 7059/2 until it was sold, would form a distinct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management order dated 15 December 1969 refers only to L.R. 3805, and acts of omission of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giving rise to losses, if any, would also form a distinct transaction. There was no nexus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two periods; nor was it alleged that identical evidence would be adduced for the acts of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or omission committed in the two transactions. The acts of negligence committed during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transactions would have been different acts relating to different matters.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bringing the present suit can it be said that the appellant was trying to bring before the court in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way and in the form of a new cause of action, a transaction which had already been adjudicated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upon? I do not think so. I have looked up a few relevant cases, notably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(1953),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 E.A.C.A. 74,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Kamunye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Pioneer Assurance</w:t>
      </w:r>
      <w:r>
        <w:rPr>
          <w:rFonts w:ascii="Times New Roman" w:hAnsi="Times New Roman" w:cs="Times New Roman"/>
          <w:color w:val="000000"/>
        </w:rPr>
        <w:t xml:space="preserve">, [1971] E.A. 263,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Greenhalgh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Mallard</w:t>
      </w:r>
      <w:r>
        <w:rPr>
          <w:rFonts w:ascii="Times New Roman" w:hAnsi="Times New Roman" w:cs="Times New Roman"/>
          <w:color w:val="000000"/>
        </w:rPr>
        <w:t>, [1947] 2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E.R. 255, and I have come to the conclusion that the plea of res judicata must fail.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normal course of events, I would have simply allowed the appeal, as the judge had ruled in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respondent only on the basis of res judicata. However at the hearing of the motion Mr.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Sharma for the respondent had submitted that the suit was barred by limitation. I have already referred to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matter. A plea of limitation should have been pleaded in a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or in this case,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the notice of motion, but Mr. Sharma has explained why this was not done in this instance.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therefore was aware of this plea. He however did not deal with it in his ruling.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order in question was dated 9 August 1965 and farm L.R. 7059/2 was sold in February 1967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farm L.R. 3805 reverted to the owner in or about June 1967.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would have arisen, at the latest, in or about June 1967. The subject plaint was filed on 7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1973, nearly 6 years later. The appellant in her plaint particularly referred to s. 187 of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Agriculture Act, under which the management order was made. S. 187 refers to “due attention to the need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careful management” and to an owner being “entitled to be compensated by the government for any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 which he may suffer by reason of the making of the order”. Clearly a claim under this would be in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tort. There was a submission by Mr. Sharma that the plaint was defective in that it did not allege or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specify any particulars of negligence; be that as it may, the </w:t>
      </w:r>
      <w:r>
        <w:rPr>
          <w:rFonts w:ascii="Times New Roman" w:hAnsi="Times New Roman" w:cs="Times New Roman"/>
          <w:color w:val="000000"/>
        </w:rPr>
        <w:lastRenderedPageBreak/>
        <w:t>claim was clearly one in tort, not contract.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ordinary period of limitation for an action in tort is three years from the date the cause of action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arose. If the Public Officers Protection Act applies then the period would be only 6 months. Whatever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limitation applicable, the suit is time barred.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refrained from dealing with the management order dated 15 December 1969, as the appellant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purported to delete it in her amended plaint. The claim on that is obviously untenable; it had been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adjudicated upon and a consent judgment was entered in respect of it. The appellant had made some odd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allegation about the consent judgment, but that is a matter between the appellant and her then advocate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was acting for her.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we allow the appeal and make the usual consequential order, the matter would have to be sent back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High Court and then the respondent would be required to file a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And when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limitation is pleaded, as it would be, in the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claim in bound to be barred by time.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would appear to be a futile exercise.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in his ruling held that the suit was res judicata and on that ground allowed the motion and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the plaint to be struck off and the suit dismissed with costs. In my view the judge should have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the motion and ordered the suit dismissed on the ground that it was time barred, not that it was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 judicata. The issue of limitation was argued before the judge and the judge should have dealt with it.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argument was unanswerable.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peculiar circumstances of this case I would order as follows. The appeal is allowed to this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extent; that the order of the judge allowing the motion to strike off the plaint and dismissing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remains, but that the reason would be that it was time barred, not res judicata. The order for costs is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aside; instead there would be no order for costs in the High Court. Similarly there would be no order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costs in the appeal.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 w:rsidR="005779F0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5779F0" w:rsidRDefault="005779F0" w:rsidP="005779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06B2C" w:rsidRDefault="00B06B2C" w:rsidP="005779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I have had the advantage of reading the judgment of Mustafa, J.A., with which I agree.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agree that the proceedings leading to this appeal were not res judicata so far as they related to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1969 Management Order. The two Orders related to separate periods that were not continuous and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Order included land not the subject of the later Order. The claims in both suits appear to have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based on allegations of negligence and the negligent acts or omissions must have been separate and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distinct. I agree with Mustafa, J.A., that while the two claims could have been included in one suit,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causes of action were separate and there was no rule of law requiring them to be combined.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might be argued that as the respondent filed no notice of grounds for affirming the decision, the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limitation was not properly before this court on the appeal. It would, however, serve no useful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to remit the proceedings, only for the suit to be dismissed on the ground of limitation: it would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 waste of time and costs. There is no injustice to the appellant, who has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her arguments on the question. I agree that the suit is clearly in tort and that it is therefore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barred.</w:t>
      </w:r>
      <w:r w:rsidR="005779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J.A., also agrees, there will be an order in the terms proposed by Mustafa, J.A.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also agree.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 in part.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appeared by agent.</w:t>
      </w:r>
    </w:p>
    <w:p w:rsidR="00B06B2C" w:rsidRDefault="00B06B2C" w:rsidP="00B06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B06B2C" w:rsidP="00B06B2C">
      <w:r>
        <w:rPr>
          <w:rFonts w:ascii="Times New Roman" w:hAnsi="Times New Roman" w:cs="Times New Roman"/>
          <w:i/>
          <w:iCs/>
          <w:color w:val="000000"/>
        </w:rPr>
        <w:t xml:space="preserve">R Sharma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2C"/>
    <w:rsid w:val="003278A0"/>
    <w:rsid w:val="005779F0"/>
    <w:rsid w:val="00B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AE6DC-98EE-44DB-ADEE-10A51B5F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2018-07-06T11:50:00Z</dcterms:created>
  <dcterms:modified xsi:type="dcterms:W3CDTF">2018-07-12T13:09:00Z</dcterms:modified>
</cp:coreProperties>
</file>