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Highway Furniture Mart Limited v The Permanent Secretary and another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June 2006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52/05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Decree – When court may vary terms of decree.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Interest on decretal sum – Justification for such interest – When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antecedent to filing suit may be granted.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230BB" w:rsidRDefault="005230BB" w:rsidP="00992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aggrieved by part of the ruling of the Superior Court wherein the Superior Court,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dismissed the application by the Attorney General for review of judgment, nevertheless invoked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inherent jurisdiction under section 3A of the Civil Procedure Act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moto </w:t>
      </w:r>
      <w:r>
        <w:rPr>
          <w:rFonts w:ascii="Times New Roman" w:hAnsi="Times New Roman" w:cs="Times New Roman"/>
          <w:color w:val="000000"/>
        </w:rPr>
        <w:t>and set aside the decree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13 January 1999 and all subsequent decrees and ordered that the decree be redrawn and approved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Deputy Registrar in accordance with the judgment of December 16, 1998. The judgment of court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9 296 132, together with costs and interest “as prayed in the plaint”. The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prayed for, among other things, “interest thereon at court rate from the date hereof until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payment in full”. The decree as drafted showed that judgment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9 296 132 was entered together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interest at 36% per annum from 12 Octob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er 1990 until date of judgment on 16 December 1998 and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14% from 17 February 1998 till payment in full. It was this decree that the judge set aside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moto </w:t>
      </w:r>
      <w:r>
        <w:rPr>
          <w:rFonts w:ascii="Times New Roman" w:hAnsi="Times New Roman" w:cs="Times New Roman"/>
          <w:color w:val="000000"/>
        </w:rPr>
        <w:t>or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moto </w:t>
      </w:r>
      <w:r>
        <w:rPr>
          <w:rFonts w:ascii="Times New Roman" w:hAnsi="Times New Roman" w:cs="Times New Roman"/>
          <w:color w:val="000000"/>
        </w:rPr>
        <w:t>and which occasioned the current appeal.</w:t>
      </w:r>
    </w:p>
    <w:p w:rsidR="005230BB" w:rsidRDefault="005230BB" w:rsidP="00992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By Order VII, rule 6 of the Civil Procedure Rules, the plaint should state specifically the relief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plaintiff claims.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justification for an award of interest on the principal sum is, generally speaking, to compensate a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for the deprivation of any money, or specific goods through the wrong act of a defendant. </w:t>
      </w:r>
      <w:r>
        <w:rPr>
          <w:rFonts w:ascii="Times New Roman" w:hAnsi="Times New Roman" w:cs="Times New Roman"/>
          <w:i/>
          <w:iCs/>
          <w:color w:val="000000"/>
        </w:rPr>
        <w:t>Later</w:t>
      </w:r>
      <w:r w:rsidR="00992B2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[1965] EA 592 followed.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antecedent to the suit is only claimable where under an agreement there is stipulation for the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interest (contractual rate of interest) or where there is no stipulation but interest is allowed by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mercantile usage (which must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pleaded and proved) or where there is statutory right to interest or where an agreement to pay interest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implied from the course of dealing between the parties.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decree should agree with the judgment. A decree which is not in conformity with the judgment is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to be reversed and set aside for a party to the suit cannot suffer because of the errors committed by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court.</w:t>
      </w:r>
      <w:r w:rsidR="00992B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in the judgment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Gulam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French Somaliland Shipping Company Limited </w:t>
      </w:r>
      <w:r>
        <w:rPr>
          <w:rFonts w:ascii="Times New Roman" w:hAnsi="Times New Roman" w:cs="Times New Roman"/>
          <w:color w:val="000000"/>
        </w:rPr>
        <w:t>[1959] EA 25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[1965] EA 592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Lwanga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Centenary Rural Development Bank </w:t>
      </w:r>
      <w:r>
        <w:rPr>
          <w:rFonts w:ascii="Times New Roman" w:hAnsi="Times New Roman" w:cs="Times New Roman"/>
          <w:color w:val="000000"/>
        </w:rPr>
        <w:t>[1999] 1 EA 175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New Types Enterprises Limited v Kenya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Insurance Company Limited </w:t>
      </w:r>
      <w:r>
        <w:rPr>
          <w:rFonts w:ascii="Times New Roman" w:hAnsi="Times New Roman" w:cs="Times New Roman"/>
          <w:color w:val="000000"/>
        </w:rPr>
        <w:t>[1988] KLR 380</w:t>
      </w:r>
    </w:p>
    <w:p w:rsidR="005230BB" w:rsidRDefault="005230BB" w:rsidP="0052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India</w:t>
      </w:r>
    </w:p>
    <w:p w:rsidR="00AB7022" w:rsidRDefault="005230BB" w:rsidP="005230BB">
      <w:r>
        <w:rPr>
          <w:rFonts w:ascii="Times New Roman" w:hAnsi="Times New Roman" w:cs="Times New Roman"/>
          <w:i/>
          <w:iCs/>
          <w:color w:val="000000"/>
        </w:rPr>
        <w:t xml:space="preserve">Bengal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Magpur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Railway Company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Ruttanji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Ramji </w:t>
      </w:r>
      <w:r>
        <w:rPr>
          <w:rFonts w:ascii="Times New Roman" w:hAnsi="Times New Roman" w:cs="Times New Roman"/>
          <w:color w:val="000000"/>
        </w:rPr>
        <w:t>1938 AIR PC 67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BB"/>
    <w:rsid w:val="005230BB"/>
    <w:rsid w:val="00992B2B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43A8-B46E-4F96-A336-8B685B52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2018-07-05T06:13:00Z</dcterms:created>
  <dcterms:modified xsi:type="dcterms:W3CDTF">2018-07-12T13:10:00Z</dcterms:modified>
</cp:coreProperties>
</file>