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843" w:rsidRDefault="00090843" w:rsidP="0009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Hirji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Alibhai</w:t>
      </w:r>
      <w:proofErr w:type="spellEnd"/>
    </w:p>
    <w:p w:rsidR="00090843" w:rsidRDefault="00090843" w:rsidP="0009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High Court of Tanzania at Dar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Es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Salaam</w:t>
      </w:r>
    </w:p>
    <w:p w:rsidR="00090843" w:rsidRDefault="00090843" w:rsidP="0009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7 February 1974</w:t>
      </w:r>
    </w:p>
    <w:p w:rsidR="00090843" w:rsidRDefault="00090843" w:rsidP="0009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18/1972 (102/74)</w:t>
      </w:r>
    </w:p>
    <w:p w:rsidR="00090843" w:rsidRDefault="00090843" w:rsidP="0009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Onyiuke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090843" w:rsidRDefault="00090843" w:rsidP="0009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090843" w:rsidRDefault="00090843" w:rsidP="0009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Civil Practice and Procedure – Pleading – Amendment – Plaint showing no cause of action –</w:t>
      </w:r>
    </w:p>
    <w:p w:rsidR="00090843" w:rsidRDefault="00090843" w:rsidP="0009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Should not be struck out if amendment showing cause of action can be made – Civil Procedure Code, O.</w:t>
      </w:r>
    </w:p>
    <w:p w:rsidR="00090843" w:rsidRDefault="00090843" w:rsidP="0009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7, </w:t>
      </w:r>
      <w:r>
        <w:rPr>
          <w:rFonts w:ascii="Times New Roman" w:hAnsi="Times New Roman" w:cs="Times New Roman"/>
          <w:i/>
          <w:iCs/>
          <w:color w:val="000000"/>
        </w:rPr>
        <w:t xml:space="preserve">r. </w:t>
      </w:r>
      <w:r>
        <w:rPr>
          <w:rFonts w:ascii="Times New Roman" w:hAnsi="Times New Roman" w:cs="Times New Roman"/>
          <w:color w:val="000000"/>
        </w:rPr>
        <w:t>11 (</w:t>
      </w:r>
      <w:r>
        <w:rPr>
          <w:rFonts w:ascii="Times New Roman" w:hAnsi="Times New Roman" w:cs="Times New Roman"/>
          <w:i/>
          <w:iCs/>
          <w:color w:val="000000"/>
        </w:rPr>
        <w:t>T</w:t>
      </w:r>
      <w:r>
        <w:rPr>
          <w:rFonts w:ascii="Times New Roman" w:hAnsi="Times New Roman" w:cs="Times New Roman"/>
          <w:color w:val="000000"/>
        </w:rPr>
        <w:t>).</w:t>
      </w:r>
    </w:p>
    <w:p w:rsidR="00090843" w:rsidRDefault="00090843" w:rsidP="0009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Contract – Court broker – Claim against judgment creditor for charges – Claim in contract not</w:t>
      </w:r>
    </w:p>
    <w:p w:rsidR="00090843" w:rsidRDefault="00090843" w:rsidP="0009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ousted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by provision in Rules of Court for collection of charges.</w:t>
      </w:r>
    </w:p>
    <w:p w:rsidR="00090843" w:rsidRDefault="00090843" w:rsidP="0009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090843" w:rsidRDefault="00090843" w:rsidP="00AD30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Onyiuke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J: </w:t>
      </w:r>
      <w:r>
        <w:rPr>
          <w:rFonts w:ascii="Times New Roman" w:hAnsi="Times New Roman" w:cs="Times New Roman"/>
          <w:color w:val="000000"/>
        </w:rPr>
        <w:t xml:space="preserve">This is an appeal against the decision of the district court of </w:t>
      </w:r>
      <w:proofErr w:type="spellStart"/>
      <w:r>
        <w:rPr>
          <w:rFonts w:ascii="Times New Roman" w:hAnsi="Times New Roman" w:cs="Times New Roman"/>
          <w:color w:val="000000"/>
        </w:rPr>
        <w:t>Rungwe</w:t>
      </w:r>
      <w:proofErr w:type="spellEnd"/>
      <w:r>
        <w:rPr>
          <w:rFonts w:ascii="Times New Roman" w:hAnsi="Times New Roman" w:cs="Times New Roman"/>
          <w:color w:val="000000"/>
        </w:rPr>
        <w:t xml:space="preserve"> district dismissing the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appellant’s suit on the ground that it disclosed no cause of action.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appellant was all times material to this case a court broker at </w:t>
      </w:r>
      <w:proofErr w:type="spellStart"/>
      <w:r>
        <w:rPr>
          <w:rFonts w:ascii="Times New Roman" w:hAnsi="Times New Roman" w:cs="Times New Roman"/>
          <w:color w:val="000000"/>
        </w:rPr>
        <w:t>Tukuyu</w:t>
      </w:r>
      <w:proofErr w:type="spellEnd"/>
      <w:r>
        <w:rPr>
          <w:rFonts w:ascii="Times New Roman" w:hAnsi="Times New Roman" w:cs="Times New Roman"/>
          <w:color w:val="000000"/>
        </w:rPr>
        <w:t>. The respondent was a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judgment-creditor at whose instance a warrant of attachment of the property of one </w:t>
      </w:r>
      <w:proofErr w:type="spellStart"/>
      <w:r>
        <w:rPr>
          <w:rFonts w:ascii="Times New Roman" w:hAnsi="Times New Roman" w:cs="Times New Roman"/>
          <w:color w:val="000000"/>
        </w:rPr>
        <w:t>Yasini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Mkakile</w:t>
      </w:r>
      <w:proofErr w:type="spellEnd"/>
      <w:r>
        <w:rPr>
          <w:rFonts w:ascii="Times New Roman" w:hAnsi="Times New Roman" w:cs="Times New Roman"/>
          <w:color w:val="000000"/>
        </w:rPr>
        <w:t xml:space="preserve"> of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Tukuyu</w:t>
      </w:r>
      <w:proofErr w:type="spellEnd"/>
      <w:r>
        <w:rPr>
          <w:rFonts w:ascii="Times New Roman" w:hAnsi="Times New Roman" w:cs="Times New Roman"/>
          <w:color w:val="000000"/>
        </w:rPr>
        <w:t xml:space="preserve"> was issued by the district court Mbeya in Mbeya Civil Case 320 of 1970. The warrant of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attachment was sent to the appellant who accordingly attached a motor vehicle TDM 115 belonging to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Yasini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Mkakile</w:t>
      </w:r>
      <w:proofErr w:type="spellEnd"/>
      <w:r>
        <w:rPr>
          <w:rFonts w:ascii="Times New Roman" w:hAnsi="Times New Roman" w:cs="Times New Roman"/>
          <w:color w:val="000000"/>
        </w:rPr>
        <w:t>. The appellant alleged in his plaint that consequent upon the receipt of a letter which was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addressed to him by the respondent’s advocates instructing him to tow the said motor vehicle from the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judgment-debtor’s house to the police station </w:t>
      </w:r>
      <w:proofErr w:type="spellStart"/>
      <w:r>
        <w:rPr>
          <w:rFonts w:ascii="Times New Roman" w:hAnsi="Times New Roman" w:cs="Times New Roman"/>
          <w:color w:val="000000"/>
        </w:rPr>
        <w:t>Tukuyu</w:t>
      </w:r>
      <w:proofErr w:type="spellEnd"/>
      <w:r>
        <w:rPr>
          <w:rFonts w:ascii="Times New Roman" w:hAnsi="Times New Roman" w:cs="Times New Roman"/>
          <w:color w:val="000000"/>
        </w:rPr>
        <w:t xml:space="preserve"> he incurred expenses in carrying out the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instructions. By virtue of the promise the appellant claimed against the respondent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557/- being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charges due to him as Court broker according to the Fees prescribed in the Attachment and Sale (Brokers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Fees Rules) 1964 (hereinafter called the Rules),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 xml:space="preserve">. 226/- whereof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200/- was the agreed and/or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reasonable charges for towing the said motor vehicle to the police station and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26/- being damages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paid by the appellant to one Francis Noel for damage to his property which occurred while the vehicle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being towed to the police station.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When the case came up for hearing in the district court counsel for the respondent raised a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preliminary o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bjection to the suit, based on two grounds, to the effect that the suit disclosed no cause of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action. The first submission was based on r. 11(2) of the Rules which provides as follows: “The fees,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charges and allowances payable under this rule shall be collected by the court and . . . paid to the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executing officer”. The second submission was based on r. 5 of the Rules which provides that after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making an attachment of movable property the executing officer shall immediately forward to the court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which issued the warrant of attachment “an inventory in the form of an </w:t>
      </w:r>
      <w:proofErr w:type="spellStart"/>
      <w:r>
        <w:rPr>
          <w:rFonts w:ascii="Times New Roman" w:hAnsi="Times New Roman" w:cs="Times New Roman"/>
          <w:color w:val="000000"/>
        </w:rPr>
        <w:t>itemised</w:t>
      </w:r>
      <w:proofErr w:type="spellEnd"/>
      <w:r>
        <w:rPr>
          <w:rFonts w:ascii="Times New Roman" w:hAnsi="Times New Roman" w:cs="Times New Roman"/>
          <w:color w:val="000000"/>
        </w:rPr>
        <w:t xml:space="preserve"> list with values, showing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items attached and the value the executing officer places on each item”. It was contended that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compliance with this requirement was a condition precedent to the appellant’s cause of action assuming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had one and since the appellant had not complied with this provision he could not maintain the present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suit.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magistrate upheld both submissions, holding that the provisions of the rules were mandatory. On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first submission, the magistrate held that by r. 11 (2) it is the court that “shall collect the charges from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decree-holder and pay over to the court broker” and that the rule did not give the court broker the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option to collect himself. On the second submission the magistrate held that r. 5 was mandatory, that the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broker shall make an inventory and shall show the estimated value of the attached property and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since the appellant had not done so he could not therefore maintain the present action. The appellant has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now appealed to this court against this decision.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issues raised by this appeal are whether a court broker can recover by suit the fees or charges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prescribed by the Rules in view of the procedure laid down in the Rules for the collection of such charges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whether a court broker can sue for extra work done or services rendered at the request of a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decree-holder.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regard to the first issue Mr. </w:t>
      </w:r>
      <w:proofErr w:type="spellStart"/>
      <w:r>
        <w:rPr>
          <w:rFonts w:ascii="Times New Roman" w:hAnsi="Times New Roman" w:cs="Times New Roman"/>
          <w:color w:val="000000"/>
        </w:rPr>
        <w:t>Lakha</w:t>
      </w:r>
      <w:proofErr w:type="spellEnd"/>
      <w:r>
        <w:rPr>
          <w:rFonts w:ascii="Times New Roman" w:hAnsi="Times New Roman" w:cs="Times New Roman"/>
          <w:color w:val="000000"/>
        </w:rPr>
        <w:t>, for the appellant, submitted that a court broker has an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independent cause of action and can sue in quasi-contract to recover the charges prescribed by the rules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 reasonable charges for services rendered in executing a warrant of attachment. Alternatively, a court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broker can sue for breach of a statutory duty. The argument was that r. 11 (1) imposes a duty on the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decree-holder to pay the fees; that in breach of his duty the respondent, the decree-holder, procured the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execution of the warrant of attachment without paying the fees and that the </w:t>
      </w:r>
      <w:r>
        <w:rPr>
          <w:rFonts w:ascii="Times New Roman" w:hAnsi="Times New Roman" w:cs="Times New Roman"/>
          <w:color w:val="000000"/>
        </w:rPr>
        <w:lastRenderedPageBreak/>
        <w:t>appellant, the court broker,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sustained damage as a result of the breach of this statutory duty.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R. 3 of the Rules defines “executing officer” as a court broker or any other person employed by the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Registrar or Magistrate to execute a warrant of attachment or order for sale issued by a court. “Court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broker” is defined in the same Rule as an auctioneer appointed under r. 7 of the Rules to be a court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broker.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“Auctioneer” is defined in </w:t>
      </w:r>
      <w:proofErr w:type="spellStart"/>
      <w:r>
        <w:rPr>
          <w:rFonts w:ascii="Times New Roman" w:hAnsi="Times New Roman" w:cs="Times New Roman"/>
          <w:color w:val="000000"/>
        </w:rPr>
        <w:t>Jowitt’s</w:t>
      </w:r>
      <w:proofErr w:type="spellEnd"/>
      <w:r>
        <w:rPr>
          <w:rFonts w:ascii="Times New Roman" w:hAnsi="Times New Roman" w:cs="Times New Roman"/>
          <w:color w:val="000000"/>
        </w:rPr>
        <w:t xml:space="preserve"> Dictionary of English Law as “a licensed agent appointed to sell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property and to conduct sales of auctions”. His remuneration consists of commission on the amount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realised</w:t>
      </w:r>
      <w:proofErr w:type="spellEnd"/>
      <w:r>
        <w:rPr>
          <w:rFonts w:ascii="Times New Roman" w:hAnsi="Times New Roman" w:cs="Times New Roman"/>
          <w:color w:val="000000"/>
        </w:rPr>
        <w:t xml:space="preserve"> by the sale and if no sale has been effected, on the reserve price. A broker is defined in this work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“an agent for the purchase and sale of goods being employed by an intending seller or buyer to find a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seller. His commission consists of a commission or payment called brokerage proportionate to the price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goods sold”. Thus it can be seen that the very concept of broker or auctioneer is an agent who renders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some service on commission or some remuneration. I do not think that the fact that an auctioneer who is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 independent person is appointed a court broker alters the nature of his calling. R. 7 of the rules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provides that “the Registrar may with the approval of the Chief Justice appoint any person to be a court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broker, if he is satisfied that such person – 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is licensed under the Auctioneers Ordinance to carry on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business of an auctioneer;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is of good repute and financial standing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has adequate facilities for the safe storage of goods”. This is to ensure that a fit and proper person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employed to execute a warrant of attachment. A court broker is however not a paid employee of the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but an independent person who renders service. The remuneration for such service is specified by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Rules in the form of fees or of charges due to him.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digress for a moment, let me compare and contrast the position of a sheriff under the English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system. The duties of a sheriff include the charge of parliamentary elections, the summoning of jurors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 execution of process issuing from the High Court and criminal courts. Formerly sheriffs were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appointed by the Sovereign from a short list prepared by judges, privy </w:t>
      </w:r>
      <w:proofErr w:type="spellStart"/>
      <w:r>
        <w:rPr>
          <w:rFonts w:ascii="Times New Roman" w:hAnsi="Times New Roman" w:cs="Times New Roman"/>
          <w:color w:val="000000"/>
        </w:rPr>
        <w:t>councillors</w:t>
      </w:r>
      <w:proofErr w:type="spellEnd"/>
      <w:r>
        <w:rPr>
          <w:rFonts w:ascii="Times New Roman" w:hAnsi="Times New Roman" w:cs="Times New Roman"/>
          <w:color w:val="000000"/>
        </w:rPr>
        <w:t xml:space="preserve"> and other high officers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realm. By the Statute of Westminster the First, C. 26, which Lord Coke said in his Institute was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made in affirmation of a fundamental maxim of the Common law “no sheriff nor other the King’s officer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to take any reward to do his office, but shall be paid of that which they take of the King”. (See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Phillimore, J. in </w:t>
      </w:r>
      <w:r>
        <w:rPr>
          <w:rFonts w:ascii="Times New Roman" w:hAnsi="Times New Roman" w:cs="Times New Roman"/>
          <w:i/>
          <w:iCs/>
          <w:color w:val="000000"/>
        </w:rPr>
        <w:t xml:space="preserve">Montague v. Davies,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Benani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&amp; Co</w:t>
      </w:r>
      <w:r>
        <w:rPr>
          <w:rFonts w:ascii="Times New Roman" w:hAnsi="Times New Roman" w:cs="Times New Roman"/>
          <w:color w:val="000000"/>
        </w:rPr>
        <w:t>. (1911), 2 K.B. 596 at p. 604). Subsequently the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practice grew up of allowing public officers to look to fees as part of their emoluments. As time went on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right of the sheriff to demand certain fees was </w:t>
      </w:r>
      <w:proofErr w:type="spellStart"/>
      <w:r>
        <w:rPr>
          <w:rFonts w:ascii="Times New Roman" w:hAnsi="Times New Roman" w:cs="Times New Roman"/>
          <w:color w:val="000000"/>
        </w:rPr>
        <w:t>recognised</w:t>
      </w:r>
      <w:proofErr w:type="spellEnd"/>
      <w:r>
        <w:rPr>
          <w:rFonts w:ascii="Times New Roman" w:hAnsi="Times New Roman" w:cs="Times New Roman"/>
          <w:color w:val="000000"/>
        </w:rPr>
        <w:t xml:space="preserve"> by Statutes which culminated in the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Sheriffs Act 1887 which provides in s. 20(2) that “Any sheriff or officer of a sheriff concerned in the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execution of process directed to the sheriff . . . may demand, take and receive such fees and poundage as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may from time to time be fixed by the Lord Chancellor . . .” It was decided that “assumpsit” lay by the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Sheriff against the judgment creditor for his fees (</w:t>
      </w:r>
      <w:r>
        <w:rPr>
          <w:rFonts w:ascii="Times New Roman" w:hAnsi="Times New Roman" w:cs="Times New Roman"/>
          <w:i/>
          <w:iCs/>
          <w:color w:val="000000"/>
        </w:rPr>
        <w:t xml:space="preserve">Stanton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Sulliard</w:t>
      </w:r>
      <w:proofErr w:type="spellEnd"/>
      <w:r>
        <w:rPr>
          <w:rFonts w:ascii="Times New Roman" w:hAnsi="Times New Roman" w:cs="Times New Roman"/>
          <w:color w:val="000000"/>
        </w:rPr>
        <w:t>, 78 E.R. 893). It was further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decided that a bailiff (a person employed by a sheriff to serve writs and make arrests and execution) who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executes a writ of </w:t>
      </w:r>
      <w:proofErr w:type="spellStart"/>
      <w:r>
        <w:rPr>
          <w:rFonts w:ascii="Times New Roman" w:hAnsi="Times New Roman" w:cs="Times New Roman"/>
          <w:color w:val="000000"/>
        </w:rPr>
        <w:t>fifa</w:t>
      </w:r>
      <w:proofErr w:type="spellEnd"/>
      <w:r>
        <w:rPr>
          <w:rFonts w:ascii="Times New Roman" w:hAnsi="Times New Roman" w:cs="Times New Roman"/>
          <w:color w:val="000000"/>
        </w:rPr>
        <w:t xml:space="preserve"> can sue the attorney who lodged the writ with the sheriff for the fees due to him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Statute although the attorney gave no directions as to any particular person by whom the writ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should have been executed. The fees were legally due to the bailiff and he could sue to recover the fees.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Brewer v. Jones </w:t>
      </w:r>
      <w:r>
        <w:rPr>
          <w:rFonts w:ascii="Times New Roman" w:hAnsi="Times New Roman" w:cs="Times New Roman"/>
          <w:color w:val="000000"/>
        </w:rPr>
        <w:t>(1866), 156 E.R. 602.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now return once more to our rules. R. 4 empowers a registrar or a magistrate, where a warrant of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attachment or order of sale is issued by the High Court or the court of a resident magistrate or by a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district court, to employ such person as he thinks fit to execute the warrant or order provided that where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is a court broker appointed for the area in which the property to be attached or sold is situate, the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registrar or magistrate shall employ such court broker to execute the warrant or order unless he is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satisfied that there is some sufficient reason for not employing him. This however imposes no obligation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registrar or magistrate to pay the court broker out of the revenue of the court. R. 8 provides that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registrar or magistrate may require the party applying for attachment or sale to deposit such sum as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may be reasonable to meet the fees, charges and allowances payable under the rules. R. 11 (1) provides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fees, charges and allowances prescribed in the second schedule to the rules shall be payable for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execution of warrants of attachment and orders for sale issued by the High Court, by courts of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resident magistrates and district courts and by r. 11(2) “the fees, charges and allowances under this Rule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shall be collected by the court and . . . paid to the executing officer.” The position then is that the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decree-holder of the party applying for attachment or sale is legally bound to pay the fees and other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charges prescribed in the rules and the court broker is legally entitled to those fees and charges on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executing the warrant or order. I think the provision relating to the collection of such fees and charges is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the purposes of convenience </w:t>
      </w:r>
      <w:r>
        <w:rPr>
          <w:rFonts w:ascii="Times New Roman" w:hAnsi="Times New Roman" w:cs="Times New Roman"/>
          <w:color w:val="000000"/>
        </w:rPr>
        <w:lastRenderedPageBreak/>
        <w:t>only and does not destroy the right of the court broker to sue for them in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event of the registrar or magistrate failing to take a deposit from the decree-holder or failing or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refusing to collect the fees and charges due to the court broker after he has rendered the appropriate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service. I am strengthened in this view by the fact that the rules make provision for collection but make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provision as to how the fees and charges are to be recovered in the event of the decree-holder failing or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refusing to pay. I am of the view that the application by a decree-holder for a warrant of attachment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imports an obligation to pay the court broker or any other person employed by the registrar or a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magistrate to execute the warrant the fees and charges prescribed by the rules for which an action lay in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event of failure or refusal by the registrar or magistrate to take a deposit or collect them. I am dealing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with the existence of a cause of action and I am not concerned here with any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to that action which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decree holder may have e.g. that he has made a deposit to cover the fees and charges or that he has paid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them into court. I will allow the appeal in respect of that part of the magistrate’s ruling based on the first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ground of the preliminary objection. I proceed to the second ground on which the suit was dismissed as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disclosing no cause of action. O. 7 r. 11 of the Civil Procedure Code 1966 provides as follows: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Rule 11: “The plaint shall be rejected in the following cases:</w:t>
      </w:r>
      <w:r w:rsidR="00AD30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where it does not disclose a cause of action;</w:t>
      </w:r>
      <w:r w:rsidR="00AD30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where the relief claimed is undervalued and the plaintiff, on being required by the Court to correct the</w:t>
      </w:r>
      <w:r w:rsidR="00AD30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valuation within a time to be fixed, fails to do so;</w:t>
      </w:r>
      <w:r w:rsidR="00AD30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) where the suit appears from the statement in the plaint to be barred by any law.</w:t>
      </w:r>
      <w:r w:rsidR="00AD30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Provided that where a plaint does not disclose a cause of action or where the suit appears from the statement</w:t>
      </w:r>
      <w:r w:rsidR="00AD30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 plaint to be barred by any law and the court is satisfied that if the plaintiff is permitted to amend the plaint,</w:t>
      </w:r>
      <w:r w:rsidR="00AD30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plaint will disclose a cause of action or as the case may be, the suit will cease to appear from the plaint to</w:t>
      </w:r>
      <w:r w:rsidR="00AD30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 barred by any law, the court may allow the plaintiff to amend the plaint subject to such conditions as to</w:t>
      </w:r>
      <w:r w:rsidR="00AD30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costs or otherwise as the court may deem fit to impose.”</w:t>
      </w:r>
      <w:r w:rsidR="00AD30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Dealing with the second ground of objection raised by the respondent the magistrate stated as follows: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“Secondly r. 5 states that the court broker shall make an inventory and show the estimated value of the</w:t>
      </w:r>
      <w:r w:rsidR="00AD30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attached property. The plaintiff did not do so and the fees or charges due to him are assessed on the estimated</w:t>
      </w:r>
      <w:r w:rsidR="00AD30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value of the attached property. The plaintiff has denied himself the opportunity to assess his charges or fees.</w:t>
      </w:r>
      <w:r w:rsidR="00AD30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His counsel has said that the fees or charges can be assessed on the claim shown in the attachment order. I do</w:t>
      </w:r>
      <w:r w:rsidR="00AD30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not think that this theory is supported by law for the second schedule bases the assessment on the value of the</w:t>
      </w:r>
      <w:r w:rsidR="00AD30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attached property and not on the value of the claim shown in the attachment order.”</w:t>
      </w:r>
      <w:r w:rsidR="00AD30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Apparently the appellant’s counsel in the court below took the view that since only one item was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attached, namely, the motor vehicle, and the vehicle, and the value thereof was far in excess of the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decretal amount there was no need to comply with r. 5 of the rules. I think he was in error and the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magistrate was right in holding that the fees or charges must be based, in the words of r. 5, on “the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estimated value of the property which the executing officer places on such item”. I can however see no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unsurmountable difficulty in the appellant placing an estimated value on the motor vehicle. I should think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this is a case where the magistrate can exercise his discretion to allow the plaintiff to amend his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 so that it can disclose a cause of action in view of my earlier decision that the appellant can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recover his fees and charges by suit.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will deal finally with the last issue raised in this appeal. A court broker after attaching movable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property may keep possession of it in any place he deems safe. In this case the respondent through his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advocate instructed the appellant to tow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vehicle and leave it in the police station Mbeya. The appellant was not bound to do so. It was in the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nature of service rendered by the appellant at the respondent’s request beyond the usual services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contemplated by the Rules for which the appellant is entitled to sue on a “quantum </w:t>
      </w:r>
      <w:proofErr w:type="spellStart"/>
      <w:r>
        <w:rPr>
          <w:rFonts w:ascii="Times New Roman" w:hAnsi="Times New Roman" w:cs="Times New Roman"/>
          <w:color w:val="000000"/>
        </w:rPr>
        <w:t>meruit</w:t>
      </w:r>
      <w:proofErr w:type="spellEnd"/>
      <w:r>
        <w:rPr>
          <w:rFonts w:ascii="Times New Roman" w:hAnsi="Times New Roman" w:cs="Times New Roman"/>
          <w:color w:val="000000"/>
        </w:rPr>
        <w:t>” – a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reasonable amount will depend on the circumstances of each case. I think however that the magistrate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erred in law in dismissing this item of the appellant’s claim without going into its merits.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final result I will allow this appeal with costs and will remit the case to the District Court for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hearing in the light of the principles enunciated in this judgment.</w:t>
      </w:r>
      <w:r w:rsidR="00AD30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Order accordingly.</w:t>
      </w:r>
    </w:p>
    <w:p w:rsidR="00090843" w:rsidRDefault="00090843" w:rsidP="00090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3278A0" w:rsidRDefault="00090843" w:rsidP="00090843">
      <w:r>
        <w:rPr>
          <w:rFonts w:ascii="Times New Roman" w:hAnsi="Times New Roman" w:cs="Times New Roman"/>
          <w:i/>
          <w:iCs/>
          <w:color w:val="000000"/>
        </w:rPr>
        <w:t xml:space="preserve">MA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Lakha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(instructed by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Lakha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&amp; Co</w:t>
      </w:r>
      <w:r>
        <w:rPr>
          <w:rFonts w:ascii="Times New Roman" w:hAnsi="Times New Roman" w:cs="Times New Roman"/>
          <w:color w:val="000000"/>
        </w:rPr>
        <w:t xml:space="preserve">, Dar </w:t>
      </w:r>
      <w:proofErr w:type="spellStart"/>
      <w:r>
        <w:rPr>
          <w:rFonts w:ascii="Times New Roman" w:hAnsi="Times New Roman" w:cs="Times New Roman"/>
          <w:color w:val="000000"/>
        </w:rPr>
        <w:t>es</w:t>
      </w:r>
      <w:proofErr w:type="spellEnd"/>
      <w:r>
        <w:rPr>
          <w:rFonts w:ascii="Times New Roman" w:hAnsi="Times New Roman" w:cs="Times New Roman"/>
          <w:color w:val="000000"/>
        </w:rPr>
        <w:t xml:space="preserve"> Salaam</w:t>
      </w:r>
    </w:p>
    <w:sectPr w:rsidR="00327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843"/>
    <w:rsid w:val="00090843"/>
    <w:rsid w:val="003278A0"/>
    <w:rsid w:val="00AD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62313B-EBDC-41FF-B628-ACE0CD6EB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2234</Words>
  <Characters>12736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2018-07-06T11:21:00Z</dcterms:created>
  <dcterms:modified xsi:type="dcterms:W3CDTF">2018-07-12T13:16:00Z</dcterms:modified>
</cp:coreProperties>
</file>