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C7D" w:rsidRDefault="002C3C7D" w:rsidP="002C3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Huka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Republic</w:t>
      </w:r>
    </w:p>
    <w:p w:rsidR="002C3C7D" w:rsidRDefault="002C3C7D" w:rsidP="002C3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</w:p>
    <w:p w:rsidR="002C3C7D" w:rsidRDefault="002C3C7D" w:rsidP="002C3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May 2004</w:t>
      </w:r>
    </w:p>
    <w:p w:rsidR="002C3C7D" w:rsidRDefault="002C3C7D" w:rsidP="002C3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114/03,117/03 and 135/03</w:t>
      </w:r>
    </w:p>
    <w:p w:rsidR="002C3C7D" w:rsidRDefault="002C3C7D" w:rsidP="002C3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 and Onyango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2C3C7D" w:rsidRDefault="002C3C7D" w:rsidP="002C3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C3C7D" w:rsidRDefault="002C3C7D" w:rsidP="002C3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C3C7D" w:rsidRDefault="002C3C7D" w:rsidP="002C3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2C3C7D" w:rsidRDefault="002C3C7D" w:rsidP="002C3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Crime – Robbery with violence – Accused persons identified – Whether evidence of identification</w:t>
      </w:r>
    </w:p>
    <w:p w:rsidR="002C3C7D" w:rsidRDefault="002C3C7D" w:rsidP="002C3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proofErr w:type="gramStart"/>
      <w:r>
        <w:rPr>
          <w:rFonts w:ascii="Times New Roman" w:hAnsi="Times New Roman" w:cs="Times New Roman"/>
          <w:i/>
          <w:iCs/>
          <w:color w:val="000000"/>
        </w:rPr>
        <w:t>had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been properly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scrutinised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by trial and first appellate courts – Whether first appellate court was</w:t>
      </w:r>
      <w:r w:rsidR="00E062C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justified in taking judicial notice at the time of dawn in that part of the country – Whether other</w:t>
      </w:r>
      <w:r w:rsidR="00E062C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contradictions in the case had been properly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analysed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>.</w:t>
      </w:r>
      <w:r w:rsidR="00E062CA">
        <w:rPr>
          <w:rFonts w:ascii="Times New Roman" w:hAnsi="Times New Roman" w:cs="Times New Roman"/>
          <w:i/>
          <w:iCs/>
          <w:color w:val="000000"/>
        </w:rPr>
        <w:t xml:space="preserve">  </w:t>
      </w:r>
      <w:r>
        <w:rPr>
          <w:rFonts w:ascii="Times New Roman" w:hAnsi="Times New Roman" w:cs="Times New Roman"/>
          <w:i/>
          <w:iCs/>
          <w:color w:val="000000"/>
        </w:rPr>
        <w:t xml:space="preserve">[2] Criminal Procedure – Appeal – Whether first appellate court had properly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scrutinised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the evidence</w:t>
      </w:r>
      <w:r w:rsidR="00E062C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– Whether contradictions in the prosecution case had been adequately considered by the first appellate</w:t>
      </w:r>
      <w:r w:rsidR="00E062C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court.</w:t>
      </w:r>
      <w:r w:rsidR="00E062C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[3] Evidence – Judicial notice – Judicial notice taken as to the time when dawn breaks in a particular</w:t>
      </w:r>
      <w:r w:rsidR="00E062C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season in the </w:t>
      </w:r>
      <w:r>
        <w:rPr>
          <w:rFonts w:ascii="Times New Roman" w:hAnsi="Times New Roman" w:cs="Times New Roman"/>
          <w:color w:val="000000"/>
        </w:rPr>
        <w:t xml:space="preserve">locus in quo </w:t>
      </w:r>
      <w:r>
        <w:rPr>
          <w:rFonts w:ascii="Times New Roman" w:hAnsi="Times New Roman" w:cs="Times New Roman"/>
          <w:i/>
          <w:iCs/>
          <w:color w:val="000000"/>
        </w:rPr>
        <w:t>– Whether the judicial notice taken as an element necessary for discharge of</w:t>
      </w:r>
      <w:r w:rsidR="00E062C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the burden of proof was appropriate in a criminal case.</w:t>
      </w:r>
      <w:r w:rsidR="00E062CA">
        <w:rPr>
          <w:rFonts w:ascii="Times New Roman" w:hAnsi="Times New Roman" w:cs="Times New Roman"/>
          <w:i/>
          <w:iCs/>
          <w:color w:val="000000"/>
        </w:rPr>
        <w:t xml:space="preserve"> </w:t>
      </w:r>
      <w:bookmarkEnd w:id="0"/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E062CA" w:rsidRDefault="002C3C7D" w:rsidP="00E062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evidence against the three appellants was that they attacked the complainant with the aid of three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persons at 5:30am in the morning. When the complaint was leaving his house in the morning of the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next day, he was accosted by the three appellants who robbed him while armed with a knife and injuring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neck and left leg.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Apart from the complainant, the appellants were also identified by an associate of the complainant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who responded to the alarm and encountered the appellants, whom he also knew and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>. A third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witness, a watchman from the area, also encountered six people whose faces he saw but did not know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names. Each appellant was later arrested separately and charged with the offence. There were some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contradictions about the clothes that the third appellant was wearing, and also about how the knife which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allegedly used in the offence got to the police station.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were convicted by the trial court. Their convictions were upheld on first appeal to the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superior court. An issue was taken regarding the identification of the accused with the appellants argued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was pre-dawn and dark at the time of the alleged offence. The superior court took judicial notice of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fact that dawn broke early at the </w:t>
      </w:r>
      <w:r>
        <w:rPr>
          <w:rFonts w:ascii="Times New Roman" w:hAnsi="Times New Roman" w:cs="Times New Roman"/>
          <w:i/>
          <w:iCs/>
          <w:color w:val="000000"/>
        </w:rPr>
        <w:t>locus in quo</w:t>
      </w:r>
      <w:r>
        <w:rPr>
          <w:rFonts w:ascii="Times New Roman" w:hAnsi="Times New Roman" w:cs="Times New Roman"/>
          <w:color w:val="000000"/>
        </w:rPr>
        <w:t>, and proceeded to affirm the convictions. On second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appeal:</w:t>
      </w:r>
      <w:r w:rsidR="00E062CA">
        <w:rPr>
          <w:rFonts w:ascii="Times New Roman" w:hAnsi="Times New Roman" w:cs="Times New Roman"/>
          <w:color w:val="000000"/>
        </w:rPr>
        <w:t xml:space="preserve"> </w:t>
      </w:r>
    </w:p>
    <w:p w:rsidR="00E062CA" w:rsidRDefault="00E062CA" w:rsidP="00E062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062CA" w:rsidRDefault="002C3C7D" w:rsidP="00E062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first appellate court ought to have examined afresh the evidence of visual identification of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accused to ensure that any possibility of error was eliminated. The Court must act with caution in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accepting evidence of identification where it is the main basis of the case against the accused. While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recognition is more reliable than identification of a stranger, the Court should take account of the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possibility that mistakes in recognition of close relatives or friends can occur.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Wamunga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</w:t>
      </w:r>
      <w:r w:rsidR="00E062C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criminal appeal number 20 of 1989,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Okeno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[1972] EA followed; </w:t>
      </w:r>
      <w:r>
        <w:rPr>
          <w:rFonts w:ascii="Times New Roman" w:hAnsi="Times New Roman" w:cs="Times New Roman"/>
          <w:i/>
          <w:iCs/>
          <w:color w:val="000000"/>
        </w:rPr>
        <w:t xml:space="preserve">R v Turnbull </w:t>
      </w:r>
      <w:r>
        <w:rPr>
          <w:rFonts w:ascii="Times New Roman" w:hAnsi="Times New Roman" w:cs="Times New Roman"/>
          <w:color w:val="000000"/>
        </w:rPr>
        <w:t>[1976] 3 All ER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549 applied.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appellate court ought not to have advanced its own theory by way of judicial notice on the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amount of light at the </w:t>
      </w:r>
      <w:r>
        <w:rPr>
          <w:rFonts w:ascii="Times New Roman" w:hAnsi="Times New Roman" w:cs="Times New Roman"/>
          <w:i/>
          <w:iCs/>
          <w:color w:val="000000"/>
        </w:rPr>
        <w:t>locus in quo</w:t>
      </w:r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Okale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Republic </w:t>
      </w:r>
      <w:r>
        <w:rPr>
          <w:rFonts w:ascii="Times New Roman" w:hAnsi="Times New Roman" w:cs="Times New Roman"/>
          <w:color w:val="000000"/>
        </w:rPr>
        <w:t>[1965] EA 555 followed.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were some contradictions in the prosecution’s evidence regarding the clothes being worn by the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third accused and the sequence of events in respect of the knife alleged to have been obtained from the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scene of the offence. The superior court failed to perform its duty to </w:t>
      </w:r>
      <w:proofErr w:type="spellStart"/>
      <w:r>
        <w:rPr>
          <w:rFonts w:ascii="Times New Roman" w:hAnsi="Times New Roman" w:cs="Times New Roman"/>
          <w:color w:val="000000"/>
        </w:rPr>
        <w:t>analyse</w:t>
      </w:r>
      <w:proofErr w:type="spellEnd"/>
      <w:r>
        <w:rPr>
          <w:rFonts w:ascii="Times New Roman" w:hAnsi="Times New Roman" w:cs="Times New Roman"/>
          <w:color w:val="000000"/>
        </w:rPr>
        <w:t xml:space="preserve"> and resolve this evidence. If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superior court had </w:t>
      </w:r>
      <w:proofErr w:type="spellStart"/>
      <w:r>
        <w:rPr>
          <w:rFonts w:ascii="Times New Roman" w:hAnsi="Times New Roman" w:cs="Times New Roman"/>
          <w:color w:val="000000"/>
        </w:rPr>
        <w:t>analysed</w:t>
      </w:r>
      <w:proofErr w:type="spellEnd"/>
      <w:r>
        <w:rPr>
          <w:rFonts w:ascii="Times New Roman" w:hAnsi="Times New Roman" w:cs="Times New Roman"/>
          <w:color w:val="000000"/>
        </w:rPr>
        <w:t xml:space="preserve"> this evidence, it may have come to a different conclusion on the entire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case. The second appellate court cannot undertake that exercise as it can only deal with matters of law.</w:t>
      </w:r>
      <w:r w:rsidR="00E062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would therefore be allowed and the convictions quashed.</w:t>
      </w:r>
      <w:r w:rsidR="00E062CA">
        <w:rPr>
          <w:rFonts w:ascii="Times New Roman" w:hAnsi="Times New Roman" w:cs="Times New Roman"/>
          <w:color w:val="000000"/>
        </w:rPr>
        <w:t xml:space="preserve"> </w:t>
      </w:r>
    </w:p>
    <w:p w:rsidR="002C3C7D" w:rsidRDefault="002C3C7D" w:rsidP="00E062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2C3C7D" w:rsidRDefault="002C3C7D" w:rsidP="002C3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2C3C7D" w:rsidRDefault="002C3C7D" w:rsidP="002C3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2C3C7D" w:rsidRDefault="002C3C7D" w:rsidP="002C3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2C3C7D" w:rsidRDefault="002C3C7D" w:rsidP="002C3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2C3C7D" w:rsidRDefault="002C3C7D" w:rsidP="002C3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lastRenderedPageBreak/>
        <w:t>Okale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Republic </w:t>
      </w:r>
      <w:r>
        <w:rPr>
          <w:rFonts w:ascii="Times New Roman" w:hAnsi="Times New Roman" w:cs="Times New Roman"/>
          <w:color w:val="000000"/>
        </w:rPr>
        <w:t xml:space="preserve">[1965] EA 55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2C3C7D" w:rsidRDefault="002C3C7D" w:rsidP="002C3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Okeno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[1972] EA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2C3C7D" w:rsidRDefault="002C3C7D" w:rsidP="002C3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Wamunga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criminal appeal number 20 of 1989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2C3C7D" w:rsidRDefault="002C3C7D" w:rsidP="002C3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2C3C7D" w:rsidRDefault="002C3C7D" w:rsidP="002C3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v Turnbull </w:t>
      </w:r>
      <w:r>
        <w:rPr>
          <w:rFonts w:ascii="Times New Roman" w:hAnsi="Times New Roman" w:cs="Times New Roman"/>
          <w:color w:val="000000"/>
        </w:rPr>
        <w:t xml:space="preserve">[1976] 3 All ER 549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E97396" w:rsidRDefault="002C3C7D" w:rsidP="002C3C7D">
      <w:r>
        <w:rPr>
          <w:rFonts w:ascii="Times New Roman" w:hAnsi="Times New Roman" w:cs="Times New Roman"/>
          <w:b/>
          <w:bCs/>
          <w:color w:val="000000"/>
        </w:rPr>
        <w:t>Judgment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7D"/>
    <w:rsid w:val="002C3C7D"/>
    <w:rsid w:val="00E062CA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1DC76-3279-4FE2-ACD2-B18ECE21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2018-07-03T13:51:00Z</dcterms:created>
  <dcterms:modified xsi:type="dcterms:W3CDTF">2018-07-12T13:19:00Z</dcterms:modified>
</cp:coreProperties>
</file>