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Income Tax v Block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Nairobi; Court of Appeal at Nairobi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October 1973; 31 July 1974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28/1972 (121/73); 11/1974 (81/74)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Simpson J; 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Direction by Commissioner – Appeal – Taxpayer can challenge direction on appeal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against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assessment based on it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101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Income Tax – Direction by Commissioner – Reasonableness – Where assets irrevocably transferred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reasonable to direct income to be that of transferor.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Income Tax – Settlement – Deemed settlement – Transfer of shares for no consideration – Whether a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settlement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deemed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Income Tax – Settlement – Settlor – Whether able to have access to trust fund – Whether positive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ability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obtain access necessary.</w:t>
      </w:r>
    </w:p>
    <w:p w:rsidR="00B25B4F" w:rsidRDefault="00AF5B4A" w:rsidP="00AF5B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F5B4A" w:rsidRDefault="00B25B4F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Simpson J: </w:t>
      </w:r>
      <w:r>
        <w:rPr>
          <w:rFonts w:ascii="Times New Roman" w:hAnsi="Times New Roman" w:cs="Times New Roman"/>
          <w:color w:val="000000"/>
        </w:rPr>
        <w:t>In these three consolidated appeals the Commissioner-General of Income Tax appeals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decisions of the Tribunal sitting in Nairobi allowing appeals by the respondent against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assessments for the years of income 1967, 1968 and 1969 which in effect invalidate a direction given by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Commissioner-General under s. 23 of the East African Income Tax (Management) Act 1958, now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replaced by s. 22 of the East African Income Tax Management Act (Cap. 24).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23 so far as material reads as follows: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“23 (1) Where the Commissioner is of the opinion that the main purpose or one of the main purposes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which any transaction or transactions was or were effected (whether before or after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passing of this Act) was the avoidance or reduction of liability to tax, for any year of income, or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main benefit which might have been expected to accrue from the transaction or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transactions in the three years immediately following the completion thereof was the avoidance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reduction of liability to tax, he may, if he determines it to be just and reasonable, direct that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adjustments shall be made as respects liability to tax as he considers appropriate to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counteract the avoidance or reduction of liability to tax which would otherwise be effected by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transaction or transactions.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Any direction of the Commissioner under this section shall specify the transaction or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transactions giving rise to the direction and the adjustments as respects liability to tax which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Commissioner considers appropriate.”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Commissioner-General submitted that as a result of the repeal of 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1958 Act an appeal lay against an assessment but not against a direction made under s. 23. A taxpayer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with an assessment made as a result of such a direction could appeal against the amount of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assessment but not against the making of the direction. It followed he said that the tribunal had no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conclude as they did that the direction under s. 23 “must fail”.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point has already been considered by Harris, J. in </w:t>
      </w:r>
      <w:r>
        <w:rPr>
          <w:rFonts w:ascii="Times New Roman" w:hAnsi="Times New Roman" w:cs="Times New Roman"/>
          <w:i/>
          <w:iCs/>
          <w:color w:val="000000"/>
        </w:rPr>
        <w:t>T. v. Income Tax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>1973] E.A. 397. He was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practice of permitting the direction itself to be challenged on appeal against the resulting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was correct and with respect I agree with him.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was repealed by Amendment Act No. 16 of 1965 contained specific provisions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appeal by a person aggrieved by a direction given under s. 23. It was however replaced by a </w:t>
      </w:r>
      <w:r w:rsidR="00AF5B4A">
        <w:rPr>
          <w:rFonts w:ascii="Times New Roman" w:hAnsi="Times New Roman" w:cs="Times New Roman"/>
          <w:color w:val="000000"/>
        </w:rPr>
        <w:t>news</w:t>
      </w:r>
      <w:r>
        <w:rPr>
          <w:rFonts w:ascii="Times New Roman" w:hAnsi="Times New Roman" w:cs="Times New Roman"/>
          <w:color w:val="000000"/>
        </w:rPr>
        <w:t>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111 which drew a distinction between appeals where an assessment is “based upon or consequent upon a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issued under s. 23” and other appeals. As Harris, J. commented no purpose would be served by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drawing this distinction if appeals were limited to challenging the assessment alone.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true as Mr.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 xml:space="preserve"> pointed out that a person aggrieved by a direction cannot now as formerly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direction itself. He must appeal against the assessment based upon or consequent upon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direction but he is not precluded from grounding such appeal on his complaints against the direction.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Tribunal had power to make a finding with respect to the validity or otherwise of the direction.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allowing the appeals and refusing to confirm the assessments the tribunal apparently accepted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submitted on behalf of the respondent that since the transaction in question in this case is a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 and ss. 24 and 25 of the Act specifically apply to settlements the Commissioner-General was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entitled to act under s. 23. These sections set out the circumstances under which incomes from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settlements shall be deemed to be the income of the settlor. Supporting this decision of the Tribunal Mr.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Slade for the respondent contended that these sections deal with all cases in which a settlement is suspect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 device for tax avoidance or reduction and that a presumption is raised that these </w:t>
      </w:r>
      <w:r>
        <w:rPr>
          <w:rFonts w:ascii="Times New Roman" w:hAnsi="Times New Roman" w:cs="Times New Roman"/>
          <w:color w:val="000000"/>
        </w:rPr>
        <w:lastRenderedPageBreak/>
        <w:t>were the only kinds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settlements the effect of which the Act was concerned to defeat. The settlement in this case was so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drafted as to escape attack under these sections.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23 is a wide general provision empowering the Commissioner-General to give directions to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counteract any avoidance or reduction of tax which would otherwise be effected by any transaction or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transactions to which the section applies and I can see no reason for holding that he is not entitled to give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direction in the case of a settlement merely because ss. 24 and 25 of the Act contain specific provisions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deeming certain income from settlements to be the income of the settlor.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satisfied that the tribunal erred in allowing the appeals for the reasons given by them.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turn now to ground 5 of the Memorandum of Appeal: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Tribunal has erred in law in not holding that one of the main purposes of the said transaction in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form of the said Settlement was avoidance or reduction of liability to tax of the Respondent herein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relevant year or years.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Tribunal erred in law in not holding that the main benefit which might have been expected to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accrue from the said transaction in three years immediately following the completion thereon was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avoidance or reduction of liability to tax of the Respondent herein for the relevant year or years.”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>, if I correctly understood his argument, contended that if the court or a tribunal had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review a direction under s. 23 such power was severely limited by the substitution of the words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“is of the opinion” for the words “has reasonable grounds to believe” made by Amendment Act No. 16 of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1965 coupled with the repeal of 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 This he said was a drastic change.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had as a result only to form an opinion which need not be reasonable by objective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standards and the onus was on the taxpayer to show that he did not form an opinion or that there was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absolutely no rational basis for his opinion.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conceded by Mr. Slade that since the provisions of s. 113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laid on the taxpayer the onus of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proving that the assessment was excessive, the burden lay on the taxpayer to prove that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was wrong in his opinion. Mr. Slade submitted that he was not limited to proving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direction was bad in law but also was entitled to show that it was bad in substance.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submission is I think entirely correct. 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specifically provided a right of appeal: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“Whether on the ground that the avoidance or reduction of liability to tax was not the main purpose or one of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main purposes of the transaction or transactions or on the ground that no direction ought to have been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or that the adjustments directed to be made are inappropriate.”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Evidence could therefore be given in the appellate court to prove the main purposes of the transaction or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result of the repeal of this provision and the amendment to s. 23 the court can I think interfere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opinion of the Commissioner-General only if it appears to the court that such opinion could not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reasonably have been formed by the Commissioner-General on a proper consideration of the facts before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Thus the court is restricted to looking at the facts on which the Commissioner-General based his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opinion. The court however is not so restricted in considering whether or not the determination of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to make a direction was just and reasonable.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before the Commissioner-General were briefly as follows.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and his wife have a large number of business interests and control several companies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East Africa. They are life directors and were in early 1966 the only shareholders in C.D. Ltd. a limited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company, the bulk of whose income was derived as dividends from its holdings in E.F. Ltd. and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G.H. Ltd. both private limited liability companies.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February 1966 Amendment Act No. 16 of 1965 was passed. This Act,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exempted from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tax dividends from resident companies in the hands of trustees and empowered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to direct limited liability companies to declare dividends.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few months later a Deed of Settlement was drafted by Mr. Gill, a Chartered Accountant. It is dated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 November 1966 and by it the respondent’s wife as settlor created a discretionary settlement. As trustees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appointed a brother of the respondent, Mr. Gill and Mr. Harley, an advocate. As trust fund she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provided a sum of only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4,000/-. The beneficiaries consisted of the children of the respondent and his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wife, several other persons including the respondent’s brother and some charities.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trust was not irrevocable. The trustees were empowered in their absolute discretion to appoint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day for the termination of what was termed the Special Trust Period. This was the period during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trustees were directed to apply the income of the Trust Fund to the benefit of the available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beneficiaries.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settlement conferred very wide powers upon the trustees for investment, accumulation of income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its treatment as capital.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trust fund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4,000/- the trustees purchased from the respondent and his wife 147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ordinary shares and 49 management shares in C.D. Ltd. at a nominal value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20/- per share.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 value of the shares at this time was approximately 100 times this figure.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C.D. Ltd. then having received a substantial sum by way </w:t>
      </w:r>
      <w:r>
        <w:rPr>
          <w:rFonts w:ascii="Times New Roman" w:hAnsi="Times New Roman" w:cs="Times New Roman"/>
          <w:color w:val="000000"/>
        </w:rPr>
        <w:lastRenderedPageBreak/>
        <w:t>of dividends from E.F. Ltd. and G.H. Ltd.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and paid a dividend for the year 1966 to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trustees amounting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269,500/-. Dividends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98,000/-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63,700/- were paid to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trustees in the years 1967 and 1968. No payments had been made to any beneficiary up to the time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made his direction.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Commissioner-General according to the appellant’s statement of facts was of the opinion not only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main benefit which might have been expected to accrue from the creation of the settlement and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subsequent purchase of shares in C.D. Ltd. in the three years immediately following the completion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 was avoidance or reduction of liability to tax of the respondent but that one of the main purposes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transaction was avoidance or reduction of surtax liability of the respondent for these years. 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determined it to be just and reasonable to direct that dividends received by the trustees from C.D.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Ltd. should be deemed to be the income of the respondent and his wife.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direction made by the Commissioner-General omitted to state that he determined it to be just and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to make a direction under s. 23 but Mr. Slade conceded that this could be presumed.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his wife and Mr. Gill, their accountant, testified that the purposes of the settlement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make provision for the children of the respondent and his wife and to effect a reduction of estate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duty, the respondent having reached the age of 50. The avoidance or reduction of liability to tax was not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main purposes of the transaction nor was it the main benefit which might have been expected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accrue therefrom in the three years immediately following completion of the transactions. They agreed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one result was a considerable reduction of income tax payable by the respondent following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capital. Neither the respondent nor his wife indicated a clear intention never to resume control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assets transferred to the trustee nor did Mr. Gill show that the deed was so drafted by him as to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 any such resumption of control.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 of purchasing the shares in C.D. Ltd. at a nominal value Mr. Gill explained, was to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minimise</w:t>
      </w:r>
      <w:proofErr w:type="spellEnd"/>
      <w:r>
        <w:rPr>
          <w:rFonts w:ascii="Times New Roman" w:hAnsi="Times New Roman" w:cs="Times New Roman"/>
          <w:color w:val="000000"/>
        </w:rPr>
        <w:t xml:space="preserve"> stamp duty. The stamp duty paid on the Deed of Settlement was £2. Had the trust fund been put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400,000/-, the approximate value of the shares, the duty would have been £200. The shares were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acquired by the trustees paying the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4,000/- in consideration of the respondent and his wife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renouncing their right to an allotment of bonus shares. This renunciation attracted no stamp duty. This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was I think having regard to the views I have already expressed admissible only to show that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of the direction was neither just nor reasonable or on the basis that it represented contentions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previously expressed to the Commissioner-General.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number of factors apparently influenced the Commissioner-General in reaching his opinion.</w:t>
      </w:r>
    </w:p>
    <w:p w:rsidR="00AF5B4A" w:rsidRDefault="00AF5B4A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 date of creation of the trust relative to the enactment of Amendment Act No. 16 of 1965 and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>subsequent payment of large dividends by E.F. Ltd. and G.H. Ltd. to C.D. Ltd. followed by payment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>by C.D. Ltd. of dividends to the trust.</w:t>
      </w:r>
    </w:p>
    <w:p w:rsidR="00AF5B4A" w:rsidRDefault="00AF5B4A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 failure to make any distribution to beneficiaries although the children of the respondent and 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>wife were still being supported by them and were of an age at which substantial financial assistance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>usually required.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F5B4A" w:rsidRDefault="00B25B4F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wide range of beneficiaries in a trust set up entirely in the interests of the children of the settlor.</w:t>
      </w:r>
    </w:p>
    <w:p w:rsidR="00AF5B4A" w:rsidRDefault="00AF5B4A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 xml:space="preserve"> possibility that the re-transfer of assets might be effected through the respondent’s brother who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25B4F">
        <w:rPr>
          <w:rFonts w:ascii="Times New Roman" w:hAnsi="Times New Roman" w:cs="Times New Roman"/>
          <w:color w:val="000000"/>
          <w:sz w:val="20"/>
          <w:szCs w:val="20"/>
        </w:rPr>
        <w:t>was both a trustee and a beneficiary or through other persons.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F5B4A" w:rsidRDefault="00B25B4F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powers of the trustees at their absolute discretion to appoint any day for the termination of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Special Trust Period. (Although it was provided that in the event of the failure or determination of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trusts the trustees would hold the trust fund for the benefit of these persons who would have become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the estate of the settlor on her death intestate, specifically excluding the respondent,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wide powers given to the trustees leave open the possibility of re-transfer of the assets to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or the settlor at the end of the Special Trust Period.)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25B4F" w:rsidRDefault="00B25B4F" w:rsidP="00AF5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>The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facts that a Deed of Settlement for the benefit of the children of the marriage was drafted by a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chartered accountant instead of an advocate and that the settlor was the mother instead of the father as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would normally expect.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Having regard to the foregoing I am satisfied that there was adequate justification for the opinion formed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Commissioner-General.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respondent and his wife had irrevocably transferred these assets to the trust it would not have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just and reasonable to make a direction.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clear from the appellant’s Statement of Facts and Mr. </w:t>
      </w:r>
      <w:proofErr w:type="spellStart"/>
      <w:r>
        <w:rPr>
          <w:rFonts w:ascii="Times New Roman" w:hAnsi="Times New Roman" w:cs="Times New Roman"/>
          <w:color w:val="000000"/>
        </w:rPr>
        <w:t>Khaminwa’s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that the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Commissioner-General’s determination was based on the belief that the transfer was not intended to be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irrevocable and that the shares or their equivalent would eventually be re-transferred to the respondent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his wife.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not persuaded that there was an intention on the part of the respondent and his wife to divest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irrevocably of the shares transferred to the trustees. In my opinion it has not been shown that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determination of the </w:t>
      </w:r>
      <w:r>
        <w:rPr>
          <w:rFonts w:ascii="Times New Roman" w:hAnsi="Times New Roman" w:cs="Times New Roman"/>
          <w:color w:val="000000"/>
        </w:rPr>
        <w:lastRenderedPageBreak/>
        <w:t>Commissioner-General to make the direction complained of was not just and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reasonable.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direction was in the following terms:</w:t>
      </w:r>
      <w:r w:rsidR="00AF5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any dividend declared or any distribution directed to be made by C.D. Ltd. after 7/11/66 appertaining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above-mentioned 147 Ordinary Shares and 49 Management Shares, and other income accruing or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derived from the said shares or the proceeds of sale of any or all of the said shares shall be deemed to be the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of the respondent and his wife.”</w:t>
      </w:r>
      <w:r w:rsidR="00AF5B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not contended that these terms were inappropriate.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is allowed.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Order accordingly.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(Deputy Counsel to the Community) and </w:t>
      </w:r>
      <w:r>
        <w:rPr>
          <w:rFonts w:ascii="Times New Roman" w:hAnsi="Times New Roman" w:cs="Times New Roman"/>
          <w:i/>
          <w:iCs/>
          <w:color w:val="000000"/>
        </w:rPr>
        <w:t xml:space="preserve">LP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(Senior Assistant Counsel)</w:t>
      </w:r>
    </w:p>
    <w:p w:rsidR="00B25B4F" w:rsidRDefault="00B25B4F" w:rsidP="00B2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B25B4F" w:rsidP="00B25B4F">
      <w:r>
        <w:rPr>
          <w:rFonts w:ascii="Times New Roman" w:hAnsi="Times New Roman" w:cs="Times New Roman"/>
          <w:i/>
          <w:iCs/>
          <w:color w:val="000000"/>
        </w:rPr>
        <w:t xml:space="preserve">H Slade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KA Fraser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Mathews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Nairob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4F"/>
    <w:rsid w:val="003278A0"/>
    <w:rsid w:val="00AF5B4A"/>
    <w:rsid w:val="00B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E7FA-17F8-45F4-AE2B-02C5D22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2018-07-06T11:32:00Z</dcterms:created>
  <dcterms:modified xsi:type="dcterms:W3CDTF">2018-07-12T13:24:00Z</dcterms:modified>
</cp:coreProperties>
</file>