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Income Tax v T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January 1975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42/1974 (25/75)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Spry Ag P, Law Ag V-P and Musoke JA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Harris, J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Precedent – Decision given per incuriam – Only when inconsistent statutory provision or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authority is ignored.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Precedent – Full Bench – Application should be made for full Bench when Court asked to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overrule previous decision.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Income Tax – Direction by Commissioner – Direction cannot stand if Commissioner influenced by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something which ought not to have been taken into account.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Income Tax – Direction by Commissioner – No power exists to remit an assessment for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reconsideration –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22, 103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F4158" w:rsidRDefault="005647ED" w:rsidP="00564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647ED" w:rsidRDefault="00BF4158" w:rsidP="005647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5647ED" w:rsidRDefault="00BF4158" w:rsidP="005647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Ag V-P: </w:t>
      </w:r>
      <w:r>
        <w:rPr>
          <w:rFonts w:ascii="Times New Roman" w:hAnsi="Times New Roman" w:cs="Times New Roman"/>
          <w:color w:val="000000"/>
        </w:rPr>
        <w:t>This is an appeal by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of Income Tax against a judgment and order of the High Court of Kenya,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allowing four consolidated appeals from decisions of the East African Income Tax Tribunal.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proceedings spring from a direction issued by the Commissioner-General under s. 22 (then s.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23) of the East African Income Tax Management Act (Cap. 24). In this, after stating that he was of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that the main purpose or one of the main purposes of four specified transactions was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avoidance or reduction of liability to tax or that the main benefit which might have been expected to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accrue from those transactions in the three years immediately following the completion thereof was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avoidance or reduction of liability to tax, the Commissioner-General directed that the income arising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any dividend declared by a company known as Travis (E.A.) Ltd. should be treated as income of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four transactions specified in the direction were as follows: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 agreement for Sale made between Travis Investments Ltd. and Travis (E.A.) Ltd., whereby the</w:t>
      </w:r>
      <w:r w:rsidR="005647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former was to sell to the latter certain properties for the sum of Shs. 2,598,940/-;</w:t>
      </w:r>
      <w:r w:rsidR="005647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an agreement for sale made between Travcom Ltd. and Travis (E.A.) Ltd., whereby the former was to</w:t>
      </w:r>
      <w:r w:rsidR="005647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sell to the latter certain shares for the sum of Shs. 20,057/-;</w:t>
      </w:r>
      <w:r w:rsidR="005647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allotment of shares of Travis (E.A.) Ltd. to Athene Investments Ltd.; and</w:t>
      </w:r>
      <w:r w:rsidR="005647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two Settlements made between the respondent and The Royal Trust Company of Canada (C.I.) Ltd.</w:t>
      </w:r>
      <w:r w:rsidR="005647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connection between these transactions is not immediately apparent and requires some explanation. It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appears that the respondent was, directly or indirectly, the major shareholder in Travis Investments Ltd.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Travcom Ltd., which were wound up in or about 1964. Those assets of the two companies which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situate outside East Africa were transferred to a company known as Jontine Ltd. but we are not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with that transaction. The assets in East Africa were transferred to Travis (E.A.) Ltd., a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formed in Kenya for the purpose, pursuant to the agreements shown as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above. All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shares of Travis (E.A.) Ltd. were allotted to Athene Investments Ltd., a company formed in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Channel Islands, all the shares of which were acquired by The Royal Trust Company of Canada (C.I.)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Ltd., a company incorporated in Jersey.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cash payable by Travis (E.A.) Ltd. to Travis Investments Ltd. and Travcom Ltd. and receivable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respondent on the liquidation of those companies formed the basis of the two settlements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mentioned under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above, one of which was of £52,000 and the other of £78,000. These were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irrevocable discretionary settlements mainly for the benefit of the respondent’s family. Neither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nor his wife had or could derive any benefit under the first settlement but they had a potential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in the second, although in fact they never received any benefit from it.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practical outcome of these transactions was that the East African assets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Travis Investments Ltd. and Travcom Ltd. became indirectly the property of the Royal Trust Company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Canada (C.I.) Ltd., upon the trusts of the two settlements.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for the respondent was that these transactions were intended to serve two purposes. In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place, he anticipated the introduction of East African exchange control. He accordingly wished to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certain British assets out of the ownership of the East African companies, Travis Investments Ltd.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Travcom Ltd., and vest them in an overseas company, Jontine Ltd. At that time, there was no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restriction </w:t>
      </w:r>
      <w:r>
        <w:rPr>
          <w:rFonts w:ascii="Times New Roman" w:hAnsi="Times New Roman" w:cs="Times New Roman"/>
          <w:color w:val="000000"/>
        </w:rPr>
        <w:lastRenderedPageBreak/>
        <w:t>on the movement of assets within the old sterling area and there was nothing illegal or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improper in so doing. Later, he wished to vest the shares of Travis (E.A.) Ltd. in an overseas company,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Athene Investments Ltd., not to take the capital assets but only the dividends, out of the reach of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anticipated East African exchange control.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respondent wished to remove his assets, or part of them, outside the scope of either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or English Estate Duty. This purpose was intended to be achieved by the two settlements.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conceded that this would have income tax benefits but he claimed that this was only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incidental: he was over sixty years of age and in poor health and his concern was to protect his capital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 for the benefit of his family.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for the Commissioner-General was, quite simply, that over the four tax years 1965-8, no tax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paid on the shares of Travis (E.A.) Ltd., whereas, but for the specified transactions, tax of Shs.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353,911/- would have been payable. He claimed that this was the main benefit that might have been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expected to accrue from the transactions.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High Court, the respondent gave evidence as to the reasons for the transactions, and he called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advocate and his accountant. The evidence of these witnesses was substantially consistent, although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differences between them on the relative importance of the exchange control and estate duty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aspects and as to which were the objects of particular transactions. The judge accepted these witnesses as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truthful and regarded the inconsistencies between them as immaterial. The Commissioner-General called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evidence.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found as fact that the transactions shown under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above had for their sole purpose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safeguarding of the respondent’s overseas assets against the possible effects of exchange control. I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confess that I find this difficult to understand, since these agreements appear to have related to East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African assets. The agreements or transfers relating to the overseas assets and their ultimate vesting in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Jontine Ltd. were not referred to in the direction and do not form part of the record of appeal.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the judge held that the transactions referred to under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above were designed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primarily to protect the respondent’s assets against the effect of estate duty both in Kenya and to a lesser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 in the United Kingdom.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Thirdly, he held that there was no connection either as to purpose or effect between the first two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transactions on the one hand and the remaining ones on the other and that either could have proceeded to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fulfilment without any need for the other.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Fourthly, he held that no avoidance or reduction of liability to income tax resulted from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that the main benefit of the agreements had no tax implications. This was, I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think, undoubtedly correct and although one ground of appeal was directed against it, it was not pursued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Mr. Shields, who appeared for the Commissioner-General.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Fifthly, the judge held that the first of the settlements amounted to an absolute gift and that this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did not fall within s. 22. This finding was not seriously challenged on the appeal.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Sixthly, he held that although a measure of saving of tax did result, the avoidance or reduction of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to tax was not one of the main purposes of any of the transactions referred to in the direction, nor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it the main benefit that might have been expected to accrue from them.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Finally, he held that the direction was neither just nor reasonable.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judge thought it proper, and rightly so, to make findings on all the issues framed, 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as his reason for allowing the appeal the fact that the direction was based partly on transactions that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fall within the mischief contemplated by s. 22 and he relied on the decision of this Court in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Income Tax v. Armstrong</w:t>
      </w:r>
      <w:r>
        <w:rPr>
          <w:rFonts w:ascii="Times New Roman" w:hAnsi="Times New Roman" w:cs="Times New Roman"/>
          <w:color w:val="000000"/>
        </w:rPr>
        <w:t>, [1963] E.A. 505 for the proposition that a direction must stand or fall as a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and that “each transaction referred to in a direction must either be effected with avoidance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or must be a necessary corollary to another transaction effected with avoidance purposes” (per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Newbold, J.A.).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Shields asked us not to follow the decision in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case. He submitted in the first place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decision was wrong, having been given per incuriam, and, secondly, that even if it had been good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it was no longer binding in view of subsequent statutory changes.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begin by saying that I think, with respect, that the suggestion that the decision was given per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incuriam was inappropriate. A decision is given per incuriam where it is given “in ignorance or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forgetfulness of some inconsistent statutory provision or of some authority binding on the court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concerned . . .” (per Lord Evershed in </w:t>
      </w:r>
      <w:r>
        <w:rPr>
          <w:rFonts w:ascii="Times New Roman" w:hAnsi="Times New Roman" w:cs="Times New Roman"/>
          <w:i/>
          <w:iCs/>
          <w:color w:val="000000"/>
        </w:rPr>
        <w:t>Morelle Ltd. v. Wakeling</w:t>
      </w:r>
      <w:r>
        <w:rPr>
          <w:rFonts w:ascii="Times New Roman" w:hAnsi="Times New Roman" w:cs="Times New Roman"/>
          <w:color w:val="000000"/>
        </w:rPr>
        <w:t xml:space="preserve">, [1955] 1 All E.R. 708, cited in </w:t>
      </w:r>
      <w:r>
        <w:rPr>
          <w:rFonts w:ascii="Times New Roman" w:hAnsi="Times New Roman" w:cs="Times New Roman"/>
          <w:i/>
          <w:iCs/>
          <w:color w:val="000000"/>
        </w:rPr>
        <w:t>Kiriri</w:t>
      </w:r>
      <w:r w:rsidR="005647E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Cotton Co. Ltd. v. Dewani</w:t>
      </w:r>
      <w:r>
        <w:rPr>
          <w:rFonts w:ascii="Times New Roman" w:hAnsi="Times New Roman" w:cs="Times New Roman"/>
          <w:color w:val="000000"/>
        </w:rPr>
        <w:t xml:space="preserve">, [1958] E.A. 239). The decision in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 may have been wrong,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it was a reasoned and carefully thought out decision and was certainly not given per incuriam.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also remark that where it is intended to ask this court to reverse one of its own decisions,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 should be asked to consider convening a bench of five judges, although a bench-of-three has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powers (see </w:t>
      </w:r>
      <w:r>
        <w:rPr>
          <w:rFonts w:ascii="Times New Roman" w:hAnsi="Times New Roman" w:cs="Times New Roman"/>
          <w:i/>
          <w:iCs/>
          <w:color w:val="000000"/>
        </w:rPr>
        <w:t>Lands Commissioner v. Bashir</w:t>
      </w:r>
      <w:r>
        <w:rPr>
          <w:rFonts w:ascii="Times New Roman" w:hAnsi="Times New Roman" w:cs="Times New Roman"/>
          <w:color w:val="000000"/>
        </w:rPr>
        <w:t>, [1958] E.A. 45).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now well established that this Court has power to reverse its own earlier decisions and will do so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color w:val="000000"/>
        </w:rPr>
        <w:lastRenderedPageBreak/>
        <w:t>appropriate circumstances. It will not, of course, do so unless it is convinced that the earlier decision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wrong. I am not so convinced in the present case, although I think, with respect, that the dictum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quoted above may have been expressed in rather too general terms. I would prefer to put the matter in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way: the Commissioner-General has a discretionary power to issue a direction; if it appears that in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exercising that discretion he has misdirected himself in some material respect or has allowed himself to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influenced by something which ought not to have been taken into account, then clearly the direction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allowed to stand, but I do not think that the inadvertent mention of an “innocent” transaction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necessarily invalidate a direction where there is no reason to think that it influenced the decision or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any other decision could reasonably have been reached on the facts.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 have said, the other leg of Mr. Shield’s argument was that even if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 was rightly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decided, subsequent changes in the legislation have rendered it obsolete.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s. 23 provided that where the Commissioner had reasonable grounds for believing that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purpose or one of the main purposes for which any transaction was or transactions were effected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avoidance or reduction of liability to tax, he might, if he deemed it just and reasonable, direct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any appropriate adjustments be made.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s. 22 provides that where the Commissioner-General is of the opinion that the main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or one of the main purposes for which any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or transactions was or were effected was the avoidance or reduction of liability to tax or that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benefit which might have been expected to accrue from the transaction or transactions in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years immediately following the completion thereof was such avoidance or reduction, he may, if 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considers it to be just and reasonable, direct that any appropriate adjustments be made.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original right of appeal to a judge conferred by s. 115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allowed for an appeal from a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on the ground that the avoidance or reduction of liability to tax was not the main purpose or one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main purposes of the transaction or transactions or on the ground that no direction ought to have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given or that the adjustments directed were inappropriate.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right of appeal conferred by s. 101 is against the assessment, and may apparently be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on any ground.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first sight, the difference appears substantial. Under the old procedure the appeal was against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 (except for appeals against adjustments) and if the appeal succeeded, the direction had to be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quashed. This is illustrated by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case, where the judgment of Newbold, J.A., begins: “This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cross-appeal relate to the validity of a direction . . .”. Now, the appeal is against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 and the question for the judge to decide is whether the taxpayer has been assessed for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amount.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come to the conclusion, however, that the difference is more apparent than real. It would be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if the issue concerned a liability created by statute. Here, however, the liability to tax does not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 directly under the statute but under the exercise by the Commissioner-General of his discretion. I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the function of this Court, sitting in appeal, is limited to deciding whether that discretion has been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exercised. If it has not, I do not think it is open to this court to exercise a discretion of its own.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connection, it will be remembered that the Commissioner-General has not only to decide what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the main purposes of and the likely benefit to be derived from the transactions he is considering but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whether it would be just and reasonable to levy tax in respect of them.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I am right in thinking that the basic reasoning in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 is as appropriate now as it was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that case was decided, there is, in my opinion, a further reason why we should not depart from it,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 to the very limited extent indicated above. Almost every year since that decision has seen some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of the East African Income Tax Management Act. The most important, for the present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purpose, was Act No. 16 of 1965, when what is substantially the present section was substituted for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old s. 23 and the old s. 115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repealed. In the following year, Act No. 9 of 1966 made a further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slight amendment to s. 23. The effect of these changes was to enlarge the discretionary power of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Commissioner. If this court, in deciding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case, had interpreted the Act in a way substantially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the intention of the Legislature, I do not think it can be doubted that the revised sections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included express provision enabling the Court, when holding a direction defective or bad in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part, to remit it to the Commissioner for reconsideration. The fact that no such provision was included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seems to me to amount to an implied approval of the decision.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case, ignoring the transactions referred to under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above, the first two of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at least, appear to have been irrelevant, we are left with two settlements, one of which, that under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neither the respondent nor his wife could derive any benefit, was clearly, in my opinion, outside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scope of s. 22. I think it was clearly wrong to include this in the direction and it materially </w:t>
      </w:r>
      <w:r>
        <w:rPr>
          <w:rFonts w:ascii="Times New Roman" w:hAnsi="Times New Roman" w:cs="Times New Roman"/>
          <w:color w:val="000000"/>
        </w:rPr>
        <w:lastRenderedPageBreak/>
        <w:t>affected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direction both in substantially increasing the amount of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 assessed and in its probable effect on the approach of the Commissioner-General to the other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settlement.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Shields, for the Commissioner-General, indicated that he would be content if this Court were to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 that the direction was just and reasonable as regards the other settlement only and were to remit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to the Commissioner-General for re-assessment. In this connection, he referred to the wide powers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by s. 103. With respect, I do not think this course is open to us. It would, in my opinion, be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impossible to say that had he not misdirected himself, the Commissioner-General must inevitably have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a direction regarding the second settlement. It is admitted that neither the respondent nor his wife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fact derived any benefit under the second settlement and they have since debarred themselves from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doing so. This, as Mr. Slade, for the respondent, submitted, might well have been thought a reason why it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just and reasonable to exercise the discretion conferred by s. 22. The difference of approach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 by the legislature in s. 22, compared with s. 24, coupled with the use of the words “just and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reasonable” in the former, must be given proper recognition. Finally, as I have said, we cannot tell how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far the Commissioner-General’s attitude towards the second settlement was influenced by his mistaken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that all the transactions were to be viewed as one.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direction was incurably bad and therefore the assessment cannot stand. I think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was correct in his decision and I would dismiss the appeal with costs. As the other members of the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agree, it is so ordered.</w:t>
      </w:r>
    </w:p>
    <w:p w:rsidR="005647ED" w:rsidRDefault="005647ED" w:rsidP="005647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647ED" w:rsidRDefault="00BF4158" w:rsidP="005647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facts and background to this appeal are fully set out in the judgment of the Acting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President. Once it is accepted, as I think it must be, that the transactions effected between Travis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Investments Ltd. and Travcom Ltd. respectively with Travis (E.A.) Ltd., in March 1964, had no income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 implications whatsoever, it follows that the main purpose, or one of the main purposes, of these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transactions was not the avoidance of, or reduction of liability to, income tax. These transactions could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therefore be the subject of a direction under s. 22 of the East African Income Tax Management Act,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should not have been specified in the Commissioner-General’s direction of 26 October 1970, with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we are concerned in this appeal, although in other respects the direction may have been validly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made. Such a direction, partly good and partly bad, was held in </w:t>
      </w:r>
      <w:r>
        <w:rPr>
          <w:rFonts w:ascii="Times New Roman" w:hAnsi="Times New Roman" w:cs="Times New Roman"/>
          <w:i/>
          <w:iCs/>
          <w:color w:val="000000"/>
        </w:rPr>
        <w:t>Income Tax v. Armstrong</w:t>
      </w:r>
      <w:r>
        <w:rPr>
          <w:rFonts w:ascii="Times New Roman" w:hAnsi="Times New Roman" w:cs="Times New Roman"/>
          <w:color w:val="000000"/>
        </w:rPr>
        <w:t>, [1963] E.A.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505 to be wholly bad in law, and Harris, J. when dealing with the matter in the High Court quite rightly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he was bound by the decision in Armstrong’s case. This court is not so bound. I do not think,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that we should depart from that decision. With respect to Mr. Shields, it was not a decision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arrived at per incuriam, and it is significant that although the Act had been amended on a number of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occasions since 1963, the legislature seems to have accepted the law regarding the validity of directions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laid down in </w:t>
      </w:r>
      <w:r>
        <w:rPr>
          <w:rFonts w:ascii="Times New Roman" w:hAnsi="Times New Roman" w:cs="Times New Roman"/>
          <w:i/>
          <w:iCs/>
          <w:color w:val="000000"/>
        </w:rPr>
        <w:t>Armstrong</w:t>
      </w:r>
      <w:r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r>
        <w:rPr>
          <w:rFonts w:ascii="Times New Roman" w:hAnsi="Times New Roman" w:cs="Times New Roman"/>
          <w:color w:val="000000"/>
        </w:rPr>
        <w:t>case as being correct, no amendment having been introduced in all that time</w:t>
      </w:r>
      <w:r w:rsidR="005647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alter the law in this respect. For these reasons, I agree that this appeal should be dismissed.</w:t>
      </w:r>
      <w:r w:rsidR="005647ED">
        <w:rPr>
          <w:rFonts w:ascii="Times New Roman" w:hAnsi="Times New Roman" w:cs="Times New Roman"/>
          <w:color w:val="000000"/>
        </w:rPr>
        <w:t xml:space="preserve"> </w:t>
      </w:r>
    </w:p>
    <w:p w:rsidR="005647ED" w:rsidRDefault="005647ED" w:rsidP="005647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F4158" w:rsidRDefault="00BF4158" w:rsidP="005647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Musoke JA: </w:t>
      </w:r>
      <w:r>
        <w:rPr>
          <w:rFonts w:ascii="Times New Roman" w:hAnsi="Times New Roman" w:cs="Times New Roman"/>
          <w:color w:val="000000"/>
        </w:rPr>
        <w:t>I agree with the judgment of the Acting President and have nothing useful to add.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JF Shields </w:t>
      </w:r>
      <w:r>
        <w:rPr>
          <w:rFonts w:ascii="Times New Roman" w:hAnsi="Times New Roman" w:cs="Times New Roman"/>
          <w:color w:val="000000"/>
        </w:rPr>
        <w:t xml:space="preserve">(Principal State Counsel) and </w:t>
      </w:r>
      <w:r>
        <w:rPr>
          <w:rFonts w:ascii="Times New Roman" w:hAnsi="Times New Roman" w:cs="Times New Roman"/>
          <w:i/>
          <w:iCs/>
          <w:color w:val="000000"/>
        </w:rPr>
        <w:t xml:space="preserve">MM Olekeiwua </w:t>
      </w:r>
      <w:r>
        <w:rPr>
          <w:rFonts w:ascii="Times New Roman" w:hAnsi="Times New Roman" w:cs="Times New Roman"/>
          <w:color w:val="000000"/>
        </w:rPr>
        <w:t>(State Counsel)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BF4158" w:rsidRDefault="00BF4158" w:rsidP="00BF4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 Slade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T Noad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Daly &amp; Figgis</w:t>
      </w:r>
      <w:r>
        <w:rPr>
          <w:rFonts w:ascii="Times New Roman" w:hAnsi="Times New Roman" w:cs="Times New Roman"/>
          <w:color w:val="000000"/>
        </w:rPr>
        <w:t>, Nairobi)</w:t>
      </w:r>
    </w:p>
    <w:p w:rsidR="00E43AAB" w:rsidRDefault="00E43AAB"/>
    <w:sectPr w:rsidR="00E43AAB" w:rsidSect="00FE6E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58"/>
    <w:rsid w:val="005647ED"/>
    <w:rsid w:val="00BF4158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63A7-21C7-45F0-B6B6-AD0C56FD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2018-07-06T12:58:00Z</dcterms:created>
  <dcterms:modified xsi:type="dcterms:W3CDTF">2018-07-12T13:27:00Z</dcterms:modified>
</cp:coreProperties>
</file>