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Indemnity Insurance Co of North America and another v Kenya Airfreight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Handling Ltd and another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1 EA 52 (CCK)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20 January 2004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531/99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Mutungi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Civil procedure – Preliminary issue – Whether Plaintiff correct party to sue under subrogation rights –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Could be determined as preliminary issue – Carriage by air – Whether carriage by Air Act 1993 and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Warsaw Convention could be determined to be the applicable law as preliminary issue.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27 March 1992 Citibank NA entered into a currency transit policy with Somerset Marine </w:t>
      </w:r>
      <w:proofErr w:type="spellStart"/>
      <w:r>
        <w:rPr>
          <w:rFonts w:ascii="Times New Roman" w:hAnsi="Times New Roman" w:cs="Times New Roman"/>
          <w:color w:val="000000"/>
        </w:rPr>
        <w:t>Inc</w:t>
      </w:r>
      <w:proofErr w:type="spellEnd"/>
      <w:r>
        <w:rPr>
          <w:rFonts w:ascii="Times New Roman" w:hAnsi="Times New Roman" w:cs="Times New Roman"/>
          <w:color w:val="000000"/>
        </w:rPr>
        <w:t xml:space="preserve"> and the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Plaintiffs as co-insurers whereby the insurers agreed to insure Citibank against all physical loss and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damage</w:t>
      </w:r>
      <w:proofErr w:type="gramEnd"/>
      <w:r>
        <w:rPr>
          <w:rFonts w:ascii="Times New Roman" w:hAnsi="Times New Roman" w:cs="Times New Roman"/>
          <w:color w:val="000000"/>
        </w:rPr>
        <w:t xml:space="preserve"> from transit of currency worldwide to a limit of US$ 15 million. Under the terms the Plaintiff’s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share</w:t>
      </w:r>
      <w:proofErr w:type="gramEnd"/>
      <w:r>
        <w:rPr>
          <w:rFonts w:ascii="Times New Roman" w:hAnsi="Times New Roman" w:cs="Times New Roman"/>
          <w:color w:val="000000"/>
        </w:rPr>
        <w:t xml:space="preserve"> of liability under the policy was 25% and the amount insured was US$ 2 500 000. As at 1 January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1997, the Plaintiffs were the sole assurers under the policy.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53 of [2004] 1 EA 52 (CCK)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or about 3 January 1997, the Republic National Bank of New York (“the consignor”) at the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request</w:t>
      </w:r>
      <w:proofErr w:type="gramEnd"/>
      <w:r>
        <w:rPr>
          <w:rFonts w:ascii="Times New Roman" w:hAnsi="Times New Roman" w:cs="Times New Roman"/>
          <w:color w:val="000000"/>
        </w:rPr>
        <w:t xml:space="preserve"> of Citibank NA Nairobi, delivered two consignments weighing 11kg each comprising of US$ 1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million</w:t>
      </w:r>
      <w:proofErr w:type="gramEnd"/>
      <w:r>
        <w:rPr>
          <w:rFonts w:ascii="Times New Roman" w:hAnsi="Times New Roman" w:cs="Times New Roman"/>
          <w:color w:val="000000"/>
        </w:rPr>
        <w:t xml:space="preserve"> to the Second Defendant for transmission to Nairobi. On or about 5 January 1997 the said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packages</w:t>
      </w:r>
      <w:proofErr w:type="gramEnd"/>
      <w:r>
        <w:rPr>
          <w:rFonts w:ascii="Times New Roman" w:hAnsi="Times New Roman" w:cs="Times New Roman"/>
          <w:color w:val="000000"/>
        </w:rPr>
        <w:t xml:space="preserve"> arrived in Nairobi and were transported and released by the Second Defendant to the First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Defendant in their offices at </w:t>
      </w:r>
      <w:proofErr w:type="spellStart"/>
      <w:r>
        <w:rPr>
          <w:rFonts w:ascii="Times New Roman" w:hAnsi="Times New Roman" w:cs="Times New Roman"/>
          <w:color w:val="000000"/>
        </w:rPr>
        <w:t>Jomo</w:t>
      </w:r>
      <w:proofErr w:type="spellEnd"/>
      <w:r>
        <w:rPr>
          <w:rFonts w:ascii="Times New Roman" w:hAnsi="Times New Roman" w:cs="Times New Roman"/>
          <w:color w:val="000000"/>
        </w:rPr>
        <w:t xml:space="preserve"> Kenyatta International Airport for onward delivery to Citibank NA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consignee”). The First Defendant allegedly released the said packages to persons unknown to the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consignee</w:t>
      </w:r>
      <w:proofErr w:type="gramEnd"/>
      <w:r>
        <w:rPr>
          <w:rFonts w:ascii="Times New Roman" w:hAnsi="Times New Roman" w:cs="Times New Roman"/>
          <w:color w:val="000000"/>
        </w:rPr>
        <w:t xml:space="preserve"> as a result of which the consignee suffered a loss of US$ 1 million.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Plaintiffs as insurers under the policy, indemnified the consignee for the loss suffered and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brought</w:t>
      </w:r>
      <w:proofErr w:type="gramEnd"/>
      <w:r>
        <w:rPr>
          <w:rFonts w:ascii="Times New Roman" w:hAnsi="Times New Roman" w:cs="Times New Roman"/>
          <w:color w:val="000000"/>
        </w:rPr>
        <w:t xml:space="preserve"> this suit claiming to be entitled to be subrogated to the rights of the consignee.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filing of the suit, the Defendant filed an application under Order 14, rule 2 of the Civil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Procedure Rules praying for orders that the issues whether the Plaintiff’s claim was time-barred by virtue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sections 3 and 7 of the Carriage by Air Act 1993 and Article 29 of the Warsaw Convention, and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whether</w:t>
      </w:r>
      <w:proofErr w:type="gramEnd"/>
      <w:r>
        <w:rPr>
          <w:rFonts w:ascii="Times New Roman" w:hAnsi="Times New Roman" w:cs="Times New Roman"/>
          <w:color w:val="000000"/>
        </w:rPr>
        <w:t xml:space="preserve"> the Plaintiff was the proper party to make the claim, be determined as preliminary issues.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in determining the application addressed itself to the following issues: whether the issues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raised</w:t>
      </w:r>
      <w:proofErr w:type="gramEnd"/>
      <w:r>
        <w:rPr>
          <w:rFonts w:ascii="Times New Roman" w:hAnsi="Times New Roman" w:cs="Times New Roman"/>
          <w:color w:val="000000"/>
        </w:rPr>
        <w:t xml:space="preserve"> by the Applicant were purely matters of law or whether certain issues of fact must be established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first</w:t>
      </w:r>
      <w:proofErr w:type="gramEnd"/>
      <w:r>
        <w:rPr>
          <w:rFonts w:ascii="Times New Roman" w:hAnsi="Times New Roman" w:cs="Times New Roman"/>
          <w:color w:val="000000"/>
        </w:rPr>
        <w:t>; whether the Carriage by Air Act 1993 and the Warsaw Convention were the proper statutes to be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invoked</w:t>
      </w:r>
      <w:proofErr w:type="gramEnd"/>
      <w:r>
        <w:rPr>
          <w:rFonts w:ascii="Times New Roman" w:hAnsi="Times New Roman" w:cs="Times New Roman"/>
          <w:color w:val="000000"/>
        </w:rPr>
        <w:t xml:space="preserve"> in determining whether the suit was barred by limitation of time, and whether the Plaintiffs were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entitled</w:t>
      </w:r>
      <w:proofErr w:type="gramEnd"/>
      <w:r>
        <w:rPr>
          <w:rFonts w:ascii="Times New Roman" w:hAnsi="Times New Roman" w:cs="Times New Roman"/>
          <w:color w:val="000000"/>
        </w:rPr>
        <w:t xml:space="preserve"> in law to bring the suit in their own names.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claim to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of the Plaintiff was based on subrogation. For an insurer to be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subrogated</w:t>
      </w:r>
      <w:proofErr w:type="gramEnd"/>
      <w:r>
        <w:rPr>
          <w:rFonts w:ascii="Times New Roman" w:hAnsi="Times New Roman" w:cs="Times New Roman"/>
          <w:color w:val="000000"/>
        </w:rPr>
        <w:t xml:space="preserve"> to the rights of the insured, the latter must have been indemnified by the former. This could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only</w:t>
      </w:r>
      <w:proofErr w:type="gramEnd"/>
      <w:r>
        <w:rPr>
          <w:rFonts w:ascii="Times New Roman" w:hAnsi="Times New Roman" w:cs="Times New Roman"/>
          <w:color w:val="000000"/>
        </w:rPr>
        <w:t xml:space="preserve"> be established by calling evidence and was therefore not necessarily a purely legal as opposed to a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factual</w:t>
      </w:r>
      <w:proofErr w:type="gramEnd"/>
      <w:r>
        <w:rPr>
          <w:rFonts w:ascii="Times New Roman" w:hAnsi="Times New Roman" w:cs="Times New Roman"/>
          <w:color w:val="000000"/>
        </w:rPr>
        <w:t xml:space="preserve"> matter.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article 18(1) and (2) of the Warsaw Convention, a carrier’s liability is only for loss sustained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during</w:t>
      </w:r>
      <w:proofErr w:type="gramEnd"/>
      <w:r>
        <w:rPr>
          <w:rFonts w:ascii="Times New Roman" w:hAnsi="Times New Roman" w:cs="Times New Roman"/>
          <w:color w:val="000000"/>
        </w:rPr>
        <w:t xml:space="preserve"> carriage by air and during the period when the carrier is in charge of the cargo, whether in an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aerodrome</w:t>
      </w:r>
      <w:proofErr w:type="gramEnd"/>
      <w:r>
        <w:rPr>
          <w:rFonts w:ascii="Times New Roman" w:hAnsi="Times New Roman" w:cs="Times New Roman"/>
          <w:color w:val="000000"/>
        </w:rPr>
        <w:t xml:space="preserve"> or on board an aircraft. The question whether the loss took place when carriage was in force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or</w:t>
      </w:r>
      <w:proofErr w:type="gramEnd"/>
      <w:r>
        <w:rPr>
          <w:rFonts w:ascii="Times New Roman" w:hAnsi="Times New Roman" w:cs="Times New Roman"/>
          <w:color w:val="000000"/>
        </w:rPr>
        <w:t xml:space="preserve"> when carriage had been terminated was not a purely legal but factual matter.</w:t>
      </w:r>
    </w:p>
    <w:p w:rsidR="00D26191" w:rsidRDefault="00D26191" w:rsidP="00D2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matter was therefore not fit to be determined on a preliminary basis. Application dismissed.</w:t>
      </w:r>
    </w:p>
    <w:p w:rsidR="0021070D" w:rsidRDefault="00D26191" w:rsidP="00D26191">
      <w:r>
        <w:rPr>
          <w:rFonts w:ascii="Times New Roman" w:hAnsi="Times New Roman" w:cs="Times New Roman"/>
          <w:b/>
          <w:bCs/>
          <w:color w:val="000000"/>
        </w:rPr>
        <w:t>No cases referred to in ruling</w:t>
      </w:r>
      <w:bookmarkStart w:id="0" w:name="_GoBack"/>
      <w:bookmarkEnd w:id="0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91"/>
    <w:rsid w:val="0021070D"/>
    <w:rsid w:val="00D2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075A9-162E-4412-A123-CA8B530D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2018-07-04T13:46:00Z</dcterms:created>
  <dcterms:modified xsi:type="dcterms:W3CDTF">2018-07-04T13:46:00Z</dcterms:modified>
</cp:coreProperties>
</file>