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Industrial and Commercial Development Corporation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Daber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Enterprises Ltd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75 (CAK)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December 2000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41/00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Summary judgment – Matter not plain and obvious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showing a </w:t>
      </w:r>
      <w:r>
        <w:rPr>
          <w:rFonts w:ascii="Times New Roman" w:hAnsi="Times New Roman" w:cs="Times New Roman"/>
          <w:color w:val="000000"/>
        </w:rPr>
        <w:t xml:space="preserve">bona fide </w:t>
      </w:r>
      <w:r>
        <w:rPr>
          <w:rFonts w:ascii="Times New Roman" w:hAnsi="Times New Roman" w:cs="Times New Roman"/>
          <w:i/>
          <w:iCs/>
          <w:color w:val="000000"/>
        </w:rPr>
        <w:t>triable issue –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Defendant should be allowed to defend unconditionally – Order 35 – Civil Procedure Rules.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Summary procedure – Circumstances under which summary procedure is suitable.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Summary procedure – Sale of land by public auction – Purchaser at the auction purportedly varying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terms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Vendor refunding sale deposit to purchaser – Purchaser filing suit against vendor and seeking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summary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judgment – Whether summary procedure suitable.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17 September 1997 the Appellant’s agent sold the suit property by public auction in exercise of the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Appellant’s statutory power of sale. The Respondent was the highest bidder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3 200 000 and the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property</w:t>
      </w:r>
      <w:proofErr w:type="gramEnd"/>
      <w:r>
        <w:rPr>
          <w:rFonts w:ascii="Times New Roman" w:hAnsi="Times New Roman" w:cs="Times New Roman"/>
          <w:color w:val="000000"/>
        </w:rPr>
        <w:t xml:space="preserve"> was knocked down to them on condition that the Respondent would immediately pay 25% of the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sale</w:t>
      </w:r>
      <w:proofErr w:type="gramEnd"/>
      <w:r>
        <w:rPr>
          <w:rFonts w:ascii="Times New Roman" w:hAnsi="Times New Roman" w:cs="Times New Roman"/>
          <w:color w:val="000000"/>
        </w:rPr>
        <w:t xml:space="preserve"> price and the balance to the Appellant within 30 days from the date of sale. The Respondent paid the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25% deposit and agreed to pay the balance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2 400 000 within 30 days.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Six days later the Respondent wrote to the Appellant informing the Appellant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they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needed</w:t>
      </w:r>
      <w:proofErr w:type="gramEnd"/>
      <w:r>
        <w:rPr>
          <w:rFonts w:ascii="Times New Roman" w:hAnsi="Times New Roman" w:cs="Times New Roman"/>
          <w:color w:val="000000"/>
        </w:rPr>
        <w:t xml:space="preserve"> 60 days to arrange to pay the balance. The Appellant rejected this suggestion by the Respondent.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a subsequent meeting between the Appellant and the Respondent. After the meeting, the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wrote to the Appellant stating that the Respondent would pay the balance within 30 days of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receiving</w:t>
      </w:r>
      <w:proofErr w:type="gramEnd"/>
      <w:r>
        <w:rPr>
          <w:rFonts w:ascii="Times New Roman" w:hAnsi="Times New Roman" w:cs="Times New Roman"/>
          <w:color w:val="000000"/>
        </w:rPr>
        <w:t xml:space="preserve"> from the Appellants documents of title, discharge of charge and a duly executed transfer and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period of 30 days would be extended by consent and on good grounds. The Appellants reacted to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said letter by refunding to the Respondents the 25% deposit.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Consequently, the Respondents filed suit in the High Court for breach of contract and other liquidated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sum</w:t>
      </w:r>
      <w:proofErr w:type="gramEnd"/>
      <w:r>
        <w:rPr>
          <w:rFonts w:ascii="Times New Roman" w:hAnsi="Times New Roman" w:cs="Times New Roman"/>
          <w:color w:val="000000"/>
        </w:rPr>
        <w:t xml:space="preserve">. The Appellant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main basis of which was that the Respondent had made a counter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offer</w:t>
      </w:r>
      <w:proofErr w:type="gramEnd"/>
      <w:r>
        <w:rPr>
          <w:rFonts w:ascii="Times New Roman" w:hAnsi="Times New Roman" w:cs="Times New Roman"/>
          <w:color w:val="000000"/>
        </w:rPr>
        <w:t xml:space="preserve"> which was unacceptable to the Appellant hence the earlier offer to the Respondent had lapsed.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4 June, 1999 the Respondent applied for summary judgment under Order 35 Rules 1(1), 2 and 3 of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Civil Procedure Rules and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be struck out under Order 6 Rule 13(1)(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said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for the reason that it might prejudice, embarrass or delay the fair trial of the action. The High Court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gave</w:t>
      </w:r>
      <w:proofErr w:type="gramEnd"/>
      <w:r>
        <w:rPr>
          <w:rFonts w:ascii="Times New Roman" w:hAnsi="Times New Roman" w:cs="Times New Roman"/>
          <w:color w:val="000000"/>
        </w:rPr>
        <w:t xml:space="preserve"> summary judgment and struck out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giving rise to this appeal.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76 of [2000] 1 EA 75 (CAK)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correspondence between the Appellant and the Respondent after the public auction of the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</w:t>
      </w:r>
      <w:proofErr w:type="gramEnd"/>
      <w:r>
        <w:rPr>
          <w:rFonts w:ascii="Times New Roman" w:hAnsi="Times New Roman" w:cs="Times New Roman"/>
          <w:color w:val="000000"/>
        </w:rPr>
        <w:t xml:space="preserve"> property seemed to vary the conditions of the original offer. There was an issue as to whether that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amounted</w:t>
      </w:r>
      <w:proofErr w:type="gramEnd"/>
      <w:r>
        <w:rPr>
          <w:rFonts w:ascii="Times New Roman" w:hAnsi="Times New Roman" w:cs="Times New Roman"/>
          <w:color w:val="000000"/>
        </w:rPr>
        <w:t xml:space="preserve"> to a counter-offer the non-acceptance of which terminated the original offer.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the matter is plain and obvious, a party to a civil litigation is not to be deprived of his right to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his case tried by a proper trial. </w:t>
      </w:r>
      <w:r>
        <w:rPr>
          <w:rFonts w:ascii="Times New Roman" w:hAnsi="Times New Roman" w:cs="Times New Roman"/>
          <w:i/>
          <w:iCs/>
          <w:color w:val="000000"/>
        </w:rPr>
        <w:t xml:space="preserve">Wenlock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Moloney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[1965] 1WLR 1238 followed.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 procedure is applied to enable a Plaintiff to obtain quick judgment where there is plainly no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defence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. Where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is a point of law and the court can see at once that the point is misconceived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>, if arguable, plainly unsustainable, summary judgment will be given. Summary procedure should not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used for obtaining an immediate trial; the question must be short and dependent on few documents;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Home and Overseas Insurance Co Ltd v Mentor Insurance Co (UK) Ltd (in liquidation) </w:t>
      </w:r>
      <w:r>
        <w:rPr>
          <w:rFonts w:ascii="Times New Roman" w:hAnsi="Times New Roman" w:cs="Times New Roman"/>
          <w:color w:val="000000"/>
        </w:rPr>
        <w:t>[1990] 1 WLR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153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Afalona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Shipping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Coral </w:t>
      </w:r>
      <w:r>
        <w:rPr>
          <w:rFonts w:ascii="Times New Roman" w:hAnsi="Times New Roman" w:cs="Times New Roman"/>
          <w:color w:val="000000"/>
        </w:rPr>
        <w:t>[1993] 1 Lloyd’s Rep 1 followed. A defendant who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can</w:t>
      </w:r>
      <w:proofErr w:type="gramEnd"/>
      <w:r>
        <w:rPr>
          <w:rFonts w:ascii="Times New Roman" w:hAnsi="Times New Roman" w:cs="Times New Roman"/>
          <w:color w:val="000000"/>
        </w:rPr>
        <w:t xml:space="preserve"> show by affidavit that there is a bona fide triable issue is to be allowed to defend that issue without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condition</w:t>
      </w:r>
      <w:proofErr w:type="gramEnd"/>
      <w:r>
        <w:rPr>
          <w:rFonts w:ascii="Times New Roman" w:hAnsi="Times New Roman" w:cs="Times New Roman"/>
          <w:color w:val="00000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</w:rPr>
        <w:t xml:space="preserve">Jacobs v Booth Distillery Co </w:t>
      </w:r>
      <w:r>
        <w:rPr>
          <w:rFonts w:ascii="Times New Roman" w:hAnsi="Times New Roman" w:cs="Times New Roman"/>
          <w:color w:val="000000"/>
        </w:rPr>
        <w:t>(1901) LT 262 followed. The appeal was allowed.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Balli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Afalona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Shipping and another </w:t>
      </w:r>
      <w:r>
        <w:rPr>
          <w:rFonts w:ascii="Times New Roman" w:hAnsi="Times New Roman" w:cs="Times New Roman"/>
          <w:color w:val="000000"/>
        </w:rPr>
        <w:t>[1993] 1 Lloyd’s Rep 1 – F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Home and Overseas Insurance Co Ltd v Mentor Insurance Co (UK) Ltd </w:t>
      </w:r>
      <w:r>
        <w:rPr>
          <w:rFonts w:ascii="Times New Roman" w:hAnsi="Times New Roman" w:cs="Times New Roman"/>
          <w:color w:val="000000"/>
        </w:rPr>
        <w:t>[1990] 1 WLR 153 – F</w:t>
      </w:r>
    </w:p>
    <w:p w:rsidR="0045537F" w:rsidRDefault="0045537F" w:rsidP="0045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Jacobs v Booth’s Distillery Co </w:t>
      </w:r>
      <w:r>
        <w:rPr>
          <w:rFonts w:ascii="Times New Roman" w:hAnsi="Times New Roman" w:cs="Times New Roman"/>
          <w:color w:val="000000"/>
        </w:rPr>
        <w:t>(1901) LT 262 HL – A</w:t>
      </w:r>
    </w:p>
    <w:p w:rsidR="003F18BF" w:rsidRDefault="0045537F" w:rsidP="0045537F">
      <w:r>
        <w:rPr>
          <w:rFonts w:ascii="Times New Roman" w:hAnsi="Times New Roman" w:cs="Times New Roman"/>
          <w:i/>
          <w:iCs/>
          <w:color w:val="000000"/>
        </w:rPr>
        <w:t xml:space="preserve">Wenlock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Moloney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[1965] 1 WLR 1238 – F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7F"/>
    <w:rsid w:val="003F18BF"/>
    <w:rsid w:val="0045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104D4-A0D8-44AD-8FCD-A21243C4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2018-07-05T11:33:00Z</dcterms:created>
  <dcterms:modified xsi:type="dcterms:W3CDTF">2018-07-05T11:33:00Z</dcterms:modified>
</cp:coreProperties>
</file>