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Industrial and Commercial Development Corporation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v Daber Enterprises Ltd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1 EA 75 (CAK)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December 2000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41/00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Gicheru, Omolo and Keiwua JJA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M Kibanga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Summary judgment – Matter not plain and obvious – Defence showing a </w:t>
      </w:r>
      <w:r>
        <w:rPr>
          <w:rFonts w:ascii="Times New Roman" w:hAnsi="Times New Roman" w:cs="Times New Roman"/>
          <w:color w:val="000000"/>
        </w:rPr>
        <w:t xml:space="preserve">bona fide </w:t>
      </w:r>
      <w:r>
        <w:rPr>
          <w:rFonts w:ascii="Times New Roman" w:hAnsi="Times New Roman" w:cs="Times New Roman"/>
          <w:i/>
          <w:iCs/>
          <w:color w:val="000000"/>
        </w:rPr>
        <w:t>triable issue –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Defendant should be allowed to defend unconditionally – Order 35 – Civil Procedure Rules.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Summary procedure – Circumstances under which summary procedure is suitable.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Summary procedure – Sale of land by public auction – Purchaser at the auction purportedly varying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terms – Vendor refunding sale deposit to purchaser – Purchaser filing suit against vendor and seeking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summary judgment – Whether summary procedure suitable.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17 September 1997 the Appellant’s agent sold the suit property by public auction in exercise of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statutory power of sale. The Respondent was the highest bidder at KShs 3 200 000 and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property was knocked down to them on condition that the Respondent would immediately pay 25% of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sale price and the balance to the Appellant within 30 days from the date of sale. The Respondent paid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25% deposit and agreed to pay the balance of KShs 2 400 000 within 30 days.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Six days later the Respondent wrote to the Appellant informing the Appellant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needed 60 days to arrange to pay the balance. The Appellant rejected this suggestion by the Respondent.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a subsequent meeting between the Appellant and the Respondent. After the meeting,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wrote to the Appellant stating that the Respondent would pay the balance within 30 days of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receiving from the Appellants documents of title, discharge of charge and a duly executed transfer and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period of 30 days would be extended by consent and on good grounds. The Appellants reacted to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said letter by refunding to the Respondents the 25% deposit.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Consequently, the Respondents filed suit in the High Court for breach of contract and other liquidated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sum. The Appellant filed a defence, the main basis of which was that the Respondent had made a counter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offer which was unacceptable to the Appellant hence the earlier offer to the Respondent had lapsed.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4 June, 1999 the Respondent applied for summary judgment under Order 35 Rules 1(1), 2 and 3 of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Civil Procedure Rules and for the defence to be struck out under Order 6 Rule 13(1)(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said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 for the reason that it might prejudice, embarrass or delay the fair trial of the action. The High Court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gave summary judgment and struck out the defence, giving rise to this appeal.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76 of [2000] 1 EA 75 (CAK)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correspondence between the Appellant and the Respondent after the public auction of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suit property seemed to vary the conditions of the original offer. There was an issue as to whether that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amounted to a counter-offer the non-acceptance of which terminated the original offer.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Unless the matter is plain and obvious, a party to a civil litigation is not to be deprived of his right to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have his case tried by a proper trial. </w:t>
      </w:r>
      <w:r>
        <w:rPr>
          <w:rFonts w:ascii="Times New Roman" w:hAnsi="Times New Roman" w:cs="Times New Roman"/>
          <w:i/>
          <w:iCs/>
          <w:color w:val="000000"/>
        </w:rPr>
        <w:t xml:space="preserve">Wenlock v Moloney and others </w:t>
      </w:r>
      <w:r>
        <w:rPr>
          <w:rFonts w:ascii="Times New Roman" w:hAnsi="Times New Roman" w:cs="Times New Roman"/>
          <w:color w:val="000000"/>
        </w:rPr>
        <w:t>[1965] 1WLR 1238 followed.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Summary procedure is applied to enable a Plaintiff to obtain quick judgment where there is plainly no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defence. Where the defence is a point of law and the court can see at once that the point is misconceived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or, if arguable, plainly unsustainable, summary judgment will be given. Summary procedure should not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used for obtaining an immediate trial; the question must be short and dependent on few documents;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Home and Overseas Insurance Co Ltd v Mentor Insurance Co (UK) Ltd (in liquidation) </w:t>
      </w:r>
      <w:r>
        <w:rPr>
          <w:rFonts w:ascii="Times New Roman" w:hAnsi="Times New Roman" w:cs="Times New Roman"/>
          <w:color w:val="000000"/>
        </w:rPr>
        <w:t>[1990] 1 WLR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153 and </w:t>
      </w:r>
      <w:r>
        <w:rPr>
          <w:rFonts w:ascii="Times New Roman" w:hAnsi="Times New Roman" w:cs="Times New Roman"/>
          <w:i/>
          <w:iCs/>
          <w:color w:val="000000"/>
        </w:rPr>
        <w:t xml:space="preserve">Balli Trading v Afalona Shipping The Coral </w:t>
      </w:r>
      <w:r>
        <w:rPr>
          <w:rFonts w:ascii="Times New Roman" w:hAnsi="Times New Roman" w:cs="Times New Roman"/>
          <w:color w:val="000000"/>
        </w:rPr>
        <w:t>[1993] 1 Lloyd’s Rep 1 followed. A defendant who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can show by affidavit that there is a bona fide triable issue is to be allowed to defend that issue without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condition; </w:t>
      </w:r>
      <w:r>
        <w:rPr>
          <w:rFonts w:ascii="Times New Roman" w:hAnsi="Times New Roman" w:cs="Times New Roman"/>
          <w:i/>
          <w:iCs/>
          <w:color w:val="000000"/>
        </w:rPr>
        <w:t xml:space="preserve">Jacobs v Booth Distillery Co </w:t>
      </w:r>
      <w:r>
        <w:rPr>
          <w:rFonts w:ascii="Times New Roman" w:hAnsi="Times New Roman" w:cs="Times New Roman"/>
          <w:color w:val="000000"/>
        </w:rPr>
        <w:t>(1901) LT 262 followed. The appeal was allowed.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Balli Trading v Afalona Shipping and another </w:t>
      </w:r>
      <w:r>
        <w:rPr>
          <w:rFonts w:ascii="Times New Roman" w:hAnsi="Times New Roman" w:cs="Times New Roman"/>
          <w:color w:val="000000"/>
        </w:rPr>
        <w:t>[1993] 1 Lloyd’s Rep 1 – 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Home and Overseas Insurance Co Ltd v Mentor Insurance Co (UK) Ltd </w:t>
      </w:r>
      <w:r>
        <w:rPr>
          <w:rFonts w:ascii="Times New Roman" w:hAnsi="Times New Roman" w:cs="Times New Roman"/>
          <w:color w:val="000000"/>
        </w:rPr>
        <w:t>[1990] 1 WLR 153 – 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Jacobs v Booth’s Distillery Co </w:t>
      </w:r>
      <w:r>
        <w:rPr>
          <w:rFonts w:ascii="Times New Roman" w:hAnsi="Times New Roman" w:cs="Times New Roman"/>
          <w:color w:val="000000"/>
        </w:rPr>
        <w:t>(1901) LT 262 HL – A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Wenlock v Moloney and others </w:t>
      </w:r>
      <w:r>
        <w:rPr>
          <w:rFonts w:ascii="Times New Roman" w:hAnsi="Times New Roman" w:cs="Times New Roman"/>
          <w:color w:val="000000"/>
        </w:rPr>
        <w:t>[1965] 1 WLR 1238 – 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GICHERU, OMOLO and KEIWUA JJA: </w:t>
      </w:r>
      <w:r>
        <w:rPr>
          <w:rFonts w:ascii="Times New Roman" w:hAnsi="Times New Roman" w:cs="Times New Roman"/>
          <w:color w:val="000000"/>
        </w:rPr>
        <w:t>Unless the matter is plain and obvious, a party to a civil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litigation is not to be deprived of his right to have his case tried by a proper trial where, if necessary,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 has been discovery and oral evidence subject to cross-examination – see the case of </w:t>
      </w:r>
      <w:r>
        <w:rPr>
          <w:rFonts w:ascii="Times New Roman" w:hAnsi="Times New Roman" w:cs="Times New Roman"/>
          <w:i/>
          <w:iCs/>
          <w:color w:val="000000"/>
        </w:rPr>
        <w:t>Wenlock v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Moloney and others </w:t>
      </w:r>
      <w:r>
        <w:rPr>
          <w:rFonts w:ascii="Times New Roman" w:hAnsi="Times New Roman" w:cs="Times New Roman"/>
          <w:color w:val="000000"/>
        </w:rPr>
        <w:t>[1965] 1 WLR 1238. The purpose of the proceedings in an application for summary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is to enable a plaintiff to obtain a quick judgment where there is plainly no defence to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claim. And where the defendant’s only suggested defence is a point of law and the court can see at once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point is misconceived or, if arguable, can be shown shortly to be plainly unsustainable,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 will be entitled to judgment. The summary nature of the proceedings should not, however, be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allowed to become a means for obtaining, in effect, an immediate trial of the action, for it is only if an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arguable question of law or construction is short and depends on few documents that the procedure is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suitable – see the cases of </w:t>
      </w:r>
      <w:r>
        <w:rPr>
          <w:rFonts w:ascii="Times New Roman" w:hAnsi="Times New Roman" w:cs="Times New Roman"/>
          <w:i/>
          <w:iCs/>
          <w:color w:val="000000"/>
        </w:rPr>
        <w:t>Home and overseas Insurance Co Ltd v Mentor Insurance Co (UK) Ltd (in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Liquidation) </w:t>
      </w:r>
      <w:r>
        <w:rPr>
          <w:rFonts w:ascii="Times New Roman" w:hAnsi="Times New Roman" w:cs="Times New Roman"/>
          <w:color w:val="000000"/>
        </w:rPr>
        <w:t xml:space="preserve">[1990] 1 WLR 153, 158 and </w:t>
      </w:r>
      <w:r>
        <w:rPr>
          <w:rFonts w:ascii="Times New Roman" w:hAnsi="Times New Roman" w:cs="Times New Roman"/>
          <w:i/>
          <w:iCs/>
          <w:color w:val="000000"/>
        </w:rPr>
        <w:t>Balli Trading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77 of [2000] 1 EA 75 (CAK)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v Afalona Shipping The Coral </w:t>
      </w:r>
      <w:r>
        <w:rPr>
          <w:rFonts w:ascii="Times New Roman" w:hAnsi="Times New Roman" w:cs="Times New Roman"/>
          <w:color w:val="000000"/>
        </w:rPr>
        <w:t>[1993] 1 Lloyd’s Rep 1 CA. A defendant who can show by affidavit that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 is a </w:t>
      </w: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triable issue is to be allowed to defend that issue without condition – see the case of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Jacobs v Booth’s Distillery Co </w:t>
      </w:r>
      <w:r>
        <w:rPr>
          <w:rFonts w:ascii="Times New Roman" w:hAnsi="Times New Roman" w:cs="Times New Roman"/>
          <w:color w:val="000000"/>
        </w:rPr>
        <w:t>(1901) LT 262 HL.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genesis of the subject matter of the Appellant’s appeal to this Court was a letter dated 23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September 1997 addressed to the Appellant by the Respondent seeking title documents, discharge of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charge, a duly executed transfer and rates and rents clearance certificates from the Appellant in respect of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that parcel of land known as title number Mombasa/Block X/291 situate along Tom Mboya Avenue,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Mombasa together with all the buildings and other improvements being or erected thereon, hereinafter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called the suit property. That letter, where pertinent, also stipulated as follows: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“We shall hold the said documents upon our undertaking to release the balance of the purchase price (less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rates and/or rent currently outstanding, if any) within 7 days of registering the transfer aforesaid, or within 60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days from the date of receipt thereof, or in the alternative failing which the same will be returnable upon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demand in their condition of receipt.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Our clients require the 60 days to enable them organise the finance necessary but it is expected this will be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done much earlier”.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as a chargee to the suit property had on 9 September 1997 in exercise of its statutory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power of sale advertised for sale by public auction the aforesaid property. That sale was to be conducted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17 September 1997 at 11:00am by the Appellant’s agents, Messrs Nadhia Limited auctioneers at their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premises situate along Meru Road, Mombasa. The conditions of sale were as follows: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All intending purchasers are requested to verify the details for themselves as these are not warranted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by the auctioneer nor the chargee.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T he highest bidder shall be declared the purchaser and pay immediately a deposit of 25 per cent of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sale price in cash or by banker’s cheque. The balance is to be paid within thirty (30) days from the date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the sale to the chargee.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S ale is subject to reserve price and other requisite consent”.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advertised, the auction sale of the suit property was conducted by the Appellant’s agents, Messrs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Nadhia Limited, auctioneers at their above-mentioned premises in Mombasa on 17 September 1997. At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sale, the Respondent was the highest bidder at KShs 3 200 000 and at the fall of the hammer was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declared the purchaser. In accordance with the conditions of the auction sale of the suit property,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made a down payment of 25% of the purchase price, that is to say, KShs 800 000 and was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subsequently issued with a certificate of sale. The balance of the purchase price amounting to KShs 2 400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000 was to be paid by the Respondent to the Appellant within thirty (30) days from the date of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auction sale – 17 September 1997. Six (6) days later, the Respondent wrote the letter referred to above to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Appellant. In its letter dated 24 September 1997, Appellant’s response to the Respondent’s letter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aforementioned was, where relevant, as follows: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above mentioned property was sold by public auction. It is a condition that the purchaser should verify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particulars pertaining to rates and ground rent as these are not warranted by the chargee.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view of this we cannot release the documents as we are expecting to receive the balance of the purchase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price within 30 days”.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78 of [2000] 1 EA 75 (CAK)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Subsequent to this letter, the Appellant and the Respondent met and from their meeting, it would seem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letter dated 26 September 1997 that the Respondent accepted to pay to the Appellant the balance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purchase price of the suit property within thirty (30) days of receipt of the title documents,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discharge of charge and a duly executed transfer. According to this latter letter, the thirty (30) days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period above mentioned could have been extended by mutual agreement and for sufficient reasons.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reaction to the aforesaid letter was to refund to the Respondent the KShs 800 000 paid by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at the auction sale of the suit property the same being the 25% of the purchase price of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said property. While acknowledging the refund of this sum of money, the Respondent threatened to bring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action against the Appellant for breach of contract which threat was carried out by the filing of civil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number 294 of 1998 in the superior court on 10 February 1998. On 12 March 1998 the Appellant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entered appearance and filed a defence to the Respondent’s suit the gravamen of which was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Respondent’s counter-offer varying the conditions of the auction sale of the property which was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unacceptable to the Appellant.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 notice of motion dated 4 June 1999 and filed in the superior court on the same day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applied for summary judgment against the Appellant under Order XXXV Rule 1(1), (2) and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of the Civil Procedure Rules Chapter 21 Laws of Kenya in the sum of KShs 11 800 000 prayed in its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 as special damages for loss of bargain being the difference of the resale price of KShs 15 000 000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offered to the Respondent and the auction sale price of KShs 3 200 000. The Respondent also sought to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the Appellant’s defence struck out under Order V1 Rule 13(1)(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aforesaid Rules for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 that it may prejudice, embarrass or delay the fair trial of the Respondent’s action against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Appellant. This application was supported by the Respondent’s affidavit annexed to which were,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germane correspondence referred to above which were also annexed to the Appellant’s replying affidavit.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hearing of the Respondent’s application in the superior court, it was submitted on its behalf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it was purchasing the suit property for resale and had indeed secured buyers for the same amongst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them being Githere Investments Limited, which had offered to purchase the suit property at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KShs 15 000 000. It was also submitted that the Respondent was not in breach of the thirty (30) days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period within which it was required to pay the balance of the auction purchase price of the suit property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since when the Appellant refunded to the Respondent the KShs 800 000 deposit of the purchase price of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suit property, the thirty (30) days period had not expired. To this end, the Appellant was in breach of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contract of sale of the suit property by public auction with the Respondent so that its defence to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Respondent’s suit was a sham.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submission of the Appellant in the superior court was that instead of paying the balance of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purchase price within the stipulated thirty (30) days in the conditions of sale of the suit property by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public auction, the Respondent counter-offered and sought a sixty (60) day period within which to pay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balance of the purchase price of the said property. This counter-offer was unacceptable to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Appellant. It was not therefore in breach of the contract as alleged by the Respondent and its defence to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Respondent’s suit disclosed a triable issue entitling it to have unconditional leave to defend the said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suit.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79 of [2000] 1 EA 75 (CAK)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its ruling dated and delivered at Nairobi on 5 August 1999 the superior court found the Appellant to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been in breach of the contract of sale of the suit property by public auction and proceeded to hold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that the Appellant’s defence to the Respondent’s suit disclosed no triable issue. In the result, summary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in the sum of KShs 11 800 000 being special damages for loss of bargain was entered in favour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Respondent and the Appellant’s defence was struck out for the reason that it may prejudice,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embarrass or delay the remainder of the Respondent’s suit against the Appellant. Aggrieved by this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decision, the Appellant now appeals to this Court and has put forward seven grounds of appeal the centre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point of which is that having not been in breach of the contract of sale of the suit property by public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auction it was on that account entitled to unconditional leave to defend the Respondent’s action against it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connection therewith. All other issues in the Appellant’s appeal are dependent on this one primary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issue.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hearing of this appeal on 30 November 2000, the force of the submission of counsel for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Appellant, Mr </w:t>
      </w:r>
      <w:r>
        <w:rPr>
          <w:rFonts w:ascii="Times New Roman" w:hAnsi="Times New Roman" w:cs="Times New Roman"/>
          <w:i/>
          <w:iCs/>
          <w:color w:val="000000"/>
        </w:rPr>
        <w:t>Ougo</w:t>
      </w:r>
      <w:r>
        <w:rPr>
          <w:rFonts w:ascii="Times New Roman" w:hAnsi="Times New Roman" w:cs="Times New Roman"/>
          <w:color w:val="000000"/>
        </w:rPr>
        <w:t>, was that the Respondent’s letter dated 23 September 1997 and addressed to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Appellant, the pertinent parts of which are set out in this judgment, amounted to a counter-offer which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not acceptable to the Appellant with the result that the original offer of sale of the suit property by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public auction to the Respondent was terminated. According to Mr </w:t>
      </w:r>
      <w:r>
        <w:rPr>
          <w:rFonts w:ascii="Times New Roman" w:hAnsi="Times New Roman" w:cs="Times New Roman"/>
          <w:i/>
          <w:iCs/>
          <w:color w:val="000000"/>
        </w:rPr>
        <w:t>Ougo</w:t>
      </w:r>
      <w:r>
        <w:rPr>
          <w:rFonts w:ascii="Times New Roman" w:hAnsi="Times New Roman" w:cs="Times New Roman"/>
          <w:color w:val="000000"/>
        </w:rPr>
        <w:t>, these were matters that were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pleaded in the Appellant’s defence in respect of which the Appellant should have been allowed to urge in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superior court. The position taken by counsel for the Respondent, Mr </w:t>
      </w:r>
      <w:r>
        <w:rPr>
          <w:rFonts w:ascii="Times New Roman" w:hAnsi="Times New Roman" w:cs="Times New Roman"/>
          <w:i/>
          <w:iCs/>
          <w:color w:val="000000"/>
        </w:rPr>
        <w:t>Kamaara</w:t>
      </w:r>
      <w:r>
        <w:rPr>
          <w:rFonts w:ascii="Times New Roman" w:hAnsi="Times New Roman" w:cs="Times New Roman"/>
          <w:color w:val="000000"/>
        </w:rPr>
        <w:t>, was however, that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parties had a firm contract and the Appellant had acted in breach of it as was evident in the refund to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by the Appellant of the KShs 800 000 being the 25% per cent of the purchase price of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suit property even before the expiry of the thirty (30) days period within which the balance of,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purchase price of the said property was to be paid. According to Mr </w:t>
      </w:r>
      <w:r>
        <w:rPr>
          <w:rFonts w:ascii="Times New Roman" w:hAnsi="Times New Roman" w:cs="Times New Roman"/>
          <w:i/>
          <w:iCs/>
          <w:color w:val="000000"/>
        </w:rPr>
        <w:t xml:space="preserve">Kamaara </w:t>
      </w:r>
      <w:r>
        <w:rPr>
          <w:rFonts w:ascii="Times New Roman" w:hAnsi="Times New Roman" w:cs="Times New Roman"/>
          <w:color w:val="000000"/>
        </w:rPr>
        <w:t>therefore, the superior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could not be faulted in holding that the Appellant’s defence raised no triable issue and was a sham.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whichever way one looks at the correspondence cited in this judgment and addressed to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by the Respondent in relation to the contract of sale of the suit property by public auction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whose purport was to vary the conditions of the original offer of sale of the said property to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Respondent, the same could have been construed as a counter-offer the non-acceptance of which by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terminated the original offer and thus vitiating the contract of sale of the suit property by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public auction between the Appellant and the Respondent.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pointed out at the beginning of this judgment, unless the matter is plain and obvious, a party to a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civil litigation is not to be deprived of his right to have his case determined by a proper trial where, if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necessary, there has been discovery and oral evidence subject to cross-examination for the scope of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proceedings in an application for summary judgment is to enable a Plaintiff to obtain a quick judgment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there is plainly no defence to the claim. This cannot be said to have been so in the circumstances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obtaining in the present appeal. In the result, we allow this appeal, set aside the order of the superior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entering summary judgment for the Respondent in the sum of KShs 11 800 000 and striking out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defence together with the award of costs of the suit with interest thereon at court rates and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that the Appellant be and is hereby granted unconditional leave to defend the suit in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80 of [2000] 1 EA 75 (CAK)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superior court and will have the costs of this appeal and those incurred in the superior court in the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defence of the Respondent’s application for summary judgment and for striking out its defence.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A Ougo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Oraro and Co</w:t>
      </w:r>
    </w:p>
    <w:p w:rsidR="004A7D95" w:rsidRDefault="004A7D95" w:rsidP="004A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4A7D95" w:rsidP="004A7D95">
      <w:r>
        <w:rPr>
          <w:rFonts w:ascii="Times New Roman" w:hAnsi="Times New Roman" w:cs="Times New Roman"/>
          <w:i/>
          <w:iCs/>
          <w:color w:val="000000"/>
        </w:rPr>
        <w:t xml:space="preserve">P M Kamaara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Ramesh Manek Adv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95"/>
    <w:rsid w:val="003F18BF"/>
    <w:rsid w:val="004A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C1F74-D715-468B-BBFA-CA59E68F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2018-07-05T11:34:00Z</dcterms:created>
  <dcterms:modified xsi:type="dcterms:W3CDTF">2018-07-05T11:34:00Z</dcterms:modified>
</cp:coreProperties>
</file>