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91A" w:rsidRDefault="00D7791A" w:rsidP="00D7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Isdori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Serikali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Mapinduzi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Zanzibar</w:t>
      </w:r>
    </w:p>
    <w:p w:rsidR="00D7791A" w:rsidRDefault="00D7791A" w:rsidP="00D7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Zanzibar</w:t>
      </w:r>
    </w:p>
    <w:p w:rsidR="00D7791A" w:rsidRDefault="00D7791A" w:rsidP="00D7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31 October 2003</w:t>
      </w:r>
    </w:p>
    <w:p w:rsidR="00D7791A" w:rsidRDefault="00D7791A" w:rsidP="00D7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145/02</w:t>
      </w:r>
    </w:p>
    <w:p w:rsidR="00D7791A" w:rsidRDefault="00D7791A" w:rsidP="00D7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Mroso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Munuo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Nsekela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D7791A" w:rsidRDefault="00D7791A" w:rsidP="00D7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7791A" w:rsidRDefault="00D7791A" w:rsidP="00D7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D7791A" w:rsidRDefault="00D7791A" w:rsidP="00D7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Crime – Robbery with violence – Identification – Witness giving general descriptions of suspects –</w:t>
      </w:r>
    </w:p>
    <w:p w:rsidR="00D7791A" w:rsidRDefault="00D7791A" w:rsidP="00D7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such evidence sound to establish identity beyond doubt – Sentence – Judge taking judicial</w:t>
      </w:r>
    </w:p>
    <w:p w:rsidR="00D7791A" w:rsidRDefault="00D7791A" w:rsidP="00D7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notice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prevalence of offence of robbery with violence and enhancing sentence as a result – Whether</w:t>
      </w:r>
    </w:p>
    <w:p w:rsidR="00D7791A" w:rsidRDefault="00D7791A" w:rsidP="00D7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proper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Judgment – Duty of presiding officer to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analyse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evaluate evidence – Section 276(1) –</w:t>
      </w:r>
    </w:p>
    <w:p w:rsidR="00D7791A" w:rsidRDefault="00D7791A" w:rsidP="00D7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Criminal Procedure Decree (Chapter 14).</w:t>
      </w:r>
    </w:p>
    <w:p w:rsidR="00BD14A9" w:rsidRDefault="00D7791A" w:rsidP="00BD14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  <w:r w:rsidR="00BD14A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Appellant was charged in the Regional Court at </w:t>
      </w:r>
      <w:proofErr w:type="spellStart"/>
      <w:r>
        <w:rPr>
          <w:rFonts w:ascii="Times New Roman" w:hAnsi="Times New Roman" w:cs="Times New Roman"/>
          <w:color w:val="000000"/>
        </w:rPr>
        <w:t>Vuga</w:t>
      </w:r>
      <w:proofErr w:type="spellEnd"/>
      <w:r>
        <w:rPr>
          <w:rFonts w:ascii="Times New Roman" w:hAnsi="Times New Roman" w:cs="Times New Roman"/>
          <w:color w:val="000000"/>
        </w:rPr>
        <w:t xml:space="preserve"> with the offence of robbery with violence.</w:t>
      </w:r>
      <w:r w:rsidR="00BD14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at the trial by the complainant showed that the complainant’s gold necklace was snatched while</w:t>
      </w:r>
      <w:r w:rsidR="00BD14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 was taking photographs of tourists who had accompanied her and her sister-in-law. The complainant</w:t>
      </w:r>
      <w:r w:rsidR="00BD14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her sister-in-law testified that they had identified the Appellant as the person who had snatched the</w:t>
      </w:r>
      <w:r w:rsidR="00BD14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necklace. They gave general description of the persons who had attacked them, one as being “tall, fat and</w:t>
      </w:r>
      <w:r w:rsidR="00BD14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black” and the other as being “short and slim”.</w:t>
      </w:r>
      <w:r w:rsidR="00BD14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court found the Appellant guilty and sentenced him to serve three years at an education</w:t>
      </w:r>
      <w:r w:rsidR="00BD14A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centre</w:t>
      </w:r>
      <w:proofErr w:type="spellEnd"/>
      <w:r>
        <w:rPr>
          <w:rFonts w:ascii="Times New Roman" w:hAnsi="Times New Roman" w:cs="Times New Roman"/>
          <w:color w:val="000000"/>
        </w:rPr>
        <w:t>. The Appellant appealed to the High Court (</w:t>
      </w:r>
      <w:proofErr w:type="spellStart"/>
      <w:r>
        <w:rPr>
          <w:rFonts w:ascii="Times New Roman" w:hAnsi="Times New Roman" w:cs="Times New Roman"/>
          <w:color w:val="000000"/>
        </w:rPr>
        <w:t>Dourado</w:t>
      </w:r>
      <w:proofErr w:type="spellEnd"/>
      <w:r>
        <w:rPr>
          <w:rFonts w:ascii="Times New Roman" w:hAnsi="Times New Roman" w:cs="Times New Roman"/>
          <w:color w:val="000000"/>
        </w:rPr>
        <w:t xml:space="preserve"> J) who confirmed the lower court’s findings</w:t>
      </w:r>
      <w:r w:rsidR="00BD14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enhanced the sentence to ten years taking judicial notice of the prevalence of robbery with violence</w:t>
      </w:r>
      <w:r w:rsidR="00BD14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cases.</w:t>
      </w:r>
      <w:r w:rsidR="00BD14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appealed to the Court of Appeal on grounds that the High Court Judge had not</w:t>
      </w:r>
      <w:r w:rsidR="00BD14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evaluated the evidence adduced in the lower court; that there was contradictory evidence on part of the</w:t>
      </w:r>
      <w:r w:rsidR="00BD14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witnesses and that the Judge had erred in increasing the sentence without a proper legal</w:t>
      </w:r>
      <w:r w:rsidR="00BD14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basis.</w:t>
      </w:r>
      <w:r w:rsidR="00BD14A9">
        <w:rPr>
          <w:rFonts w:ascii="Times New Roman" w:hAnsi="Times New Roman" w:cs="Times New Roman"/>
          <w:color w:val="000000"/>
        </w:rPr>
        <w:t xml:space="preserve"> </w:t>
      </w:r>
    </w:p>
    <w:p w:rsidR="00BD14A9" w:rsidRDefault="00BD14A9" w:rsidP="00D7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D14A9" w:rsidRDefault="00D7791A" w:rsidP="00BD14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judgment of the Learned High Court Judge contravened the provisions of section 276(1) of</w:t>
      </w:r>
      <w:r w:rsidR="00BD14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Criminal Procedure Decree in that it contained no point(s) for determination, reasons for the decision</w:t>
      </w:r>
      <w:r w:rsidR="00BD14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the de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cision itself. The decision of the High Court simply supported the judgment of the trial court</w:t>
      </w:r>
      <w:r w:rsidR="00BD14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instead of </w:t>
      </w:r>
      <w:proofErr w:type="spellStart"/>
      <w:r>
        <w:rPr>
          <w:rFonts w:ascii="Times New Roman" w:hAnsi="Times New Roman" w:cs="Times New Roman"/>
          <w:color w:val="000000"/>
        </w:rPr>
        <w:t>analysing</w:t>
      </w:r>
      <w:proofErr w:type="spellEnd"/>
      <w:r>
        <w:rPr>
          <w:rFonts w:ascii="Times New Roman" w:hAnsi="Times New Roman" w:cs="Times New Roman"/>
          <w:color w:val="000000"/>
        </w:rPr>
        <w:t xml:space="preserve"> and evaluating the evidence adduced at trial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Mhando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[1993] TLR 170</w:t>
      </w:r>
      <w:r w:rsidR="00BD14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followed; </w:t>
      </w:r>
      <w:r>
        <w:rPr>
          <w:rFonts w:ascii="Times New Roman" w:hAnsi="Times New Roman" w:cs="Times New Roman"/>
          <w:i/>
          <w:iCs/>
          <w:color w:val="000000"/>
        </w:rPr>
        <w:t xml:space="preserve">DPP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Kawawa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[1981] TLR 148 considered).</w:t>
      </w:r>
      <w:r w:rsidR="00BD14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identification of the Appellant was doubtful. The general descriptions of the suspects as being</w:t>
      </w:r>
      <w:r w:rsidR="00BD14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“tall, fat and black” or “short and slim” could fit many other young boys. The evidence of the two eye</w:t>
      </w:r>
      <w:r w:rsidR="00BD14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witnesses did not establish the identity of the Appellant without doubt.</w:t>
      </w:r>
      <w:r w:rsidR="00BD14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Judge’s reliance on judicial notice of the prevalence of the said crime as a basis for</w:t>
      </w:r>
      <w:r w:rsidR="00BD14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increasing the sentence imposed by the trial court was erroneous.</w:t>
      </w:r>
      <w:r w:rsidR="00BD14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 quashed and sentence set aside.</w:t>
      </w:r>
      <w:r w:rsidR="00BD14A9">
        <w:rPr>
          <w:rFonts w:ascii="Times New Roman" w:hAnsi="Times New Roman" w:cs="Times New Roman"/>
          <w:color w:val="000000"/>
        </w:rPr>
        <w:t xml:space="preserve"> </w:t>
      </w:r>
    </w:p>
    <w:p w:rsidR="00BD14A9" w:rsidRDefault="00BD14A9" w:rsidP="00D7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7791A" w:rsidRDefault="00D7791A" w:rsidP="00D7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D7791A" w:rsidRDefault="00D7791A" w:rsidP="00D7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D7791A" w:rsidRDefault="00D7791A" w:rsidP="00D7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D7791A" w:rsidRDefault="00D7791A" w:rsidP="00D7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D7791A" w:rsidRDefault="00D7791A" w:rsidP="00D7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DPP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Kawawa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[1981] TLR 148 </w:t>
      </w:r>
      <w:r>
        <w:rPr>
          <w:rFonts w:ascii="Times New Roman" w:hAnsi="Times New Roman" w:cs="Times New Roman"/>
          <w:b/>
          <w:bCs/>
          <w:color w:val="000000"/>
        </w:rPr>
        <w:t>– C</w:t>
      </w:r>
    </w:p>
    <w:p w:rsidR="00D7791A" w:rsidRDefault="00D7791A" w:rsidP="00D7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Mfaume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[1981] TLR 167</w:t>
      </w:r>
    </w:p>
    <w:p w:rsidR="0021070D" w:rsidRDefault="00D7791A" w:rsidP="00D7791A">
      <w:proofErr w:type="spellStart"/>
      <w:r>
        <w:rPr>
          <w:rFonts w:ascii="Times New Roman" w:hAnsi="Times New Roman" w:cs="Times New Roman"/>
          <w:i/>
          <w:iCs/>
          <w:color w:val="000000"/>
        </w:rPr>
        <w:t>Mhando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[1993] TLR 170 – F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1A"/>
    <w:rsid w:val="0021070D"/>
    <w:rsid w:val="00BD14A9"/>
    <w:rsid w:val="00D7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32A07-B021-4ED4-AB77-DB0AB559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2018-07-04T13:47:00Z</dcterms:created>
  <dcterms:modified xsi:type="dcterms:W3CDTF">2018-07-12T18:02:00Z</dcterms:modified>
</cp:coreProperties>
</file>