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 Ltd v Income Tax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March 1974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4/1972 (42/74)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Income Tax – Capital or income receipt – Profit on sale of investments of cash reserves of insurance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company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Income receipt – Business of investment carried on.</w:t>
      </w:r>
    </w:p>
    <w:p w:rsidR="00976CC0" w:rsidRDefault="00CF5DCA" w:rsidP="00CF5D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F5DCA" w:rsidRDefault="00976CC0" w:rsidP="00CF5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Muli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In these consolidated appeals, the appellant appeals against the decision of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of Income Tax confirming additional assessments for the years of income, 1964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1965 pursuant to the provisions of the East African Income Tax Management Act 1958 (hereinafter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as “the Act”).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both appeals the grounds of appeal and the statements of facts are substantially similar with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exception of the figures. The parties agreed that the court should concern itself with the general issue,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figures would be adjusted in the light of the decision.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issue was whether the subject matter of the assessments was capital gains or income derived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appellant’s business.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therefore state the facts as contained in Appeal No. 4 of 1972.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company was incorporated in Kenya under the Companies Act (Cap. 486) to carry on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kinds of insurance business including,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fire and accident; indemnity, motor, workman’s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compensation, third party risks and life insurance. Under its Memorandum of Association, the appellant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was in addition authorised by sub-clause (</w:t>
      </w:r>
      <w:r>
        <w:rPr>
          <w:rFonts w:ascii="Times New Roman" w:hAnsi="Times New Roman" w:cs="Times New Roman"/>
          <w:i/>
          <w:iCs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) of the main clause 3 as follows: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>) to invest and deal with the moneys of the company not immediately required upon such securities and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such manner as may from time to time be determined.”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maintained surplus cash reserves which they did not require to meet their day to day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liabilities and even unprecedented claims. Prior to the relevant years, they had invested these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surplus cash reserves in equities and Government stock. Thus in 1964 the appellant owned as a part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equity investment some 3,650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10/- shares in Cooper Motor Corporation Ltd. of Nairobi.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in 1965, the appellant had Government stock purchased at various dates prior to this year at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percentages and which were redeemed by the Government of Kenya paying therefore some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£2,091 to the appellant and this sum is the subject matter of the additional assessment for year of income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1965.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respect to the 3,650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10/- shares the appellant had in Cooper Motor Corporation, the latter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issued a bonus of one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10/- share in another company known as A.R.V. Holdings Ltd. of England for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every share in Cooper Motor Corporation. Thus the appellant acquired 3,650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10/- bonus shares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A.R.V. Holdings Ltd. A.R.V. Holdings being a foreign company and according to the appellant,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the policy of the appellant company to invest its surplus in England, it sold the shares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receiving therefore some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35,946/-, the subject matter of the additional assessment for the year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1964. The Commissioner thus charged to tax the profits of the sale of the shares in A.R.V.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contended on behalf of the appellant that this was an isolated transaction of the sale of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shares issues on bonus in the A.R.V. Holdings and that the proceeds were in the nature of capital gains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liable to tax.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1965 the Government redeemed the stock and paid to the appellant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3,558/45 being the profit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stocks bought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81,441/55. In the same year the Government redeemed a further stock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bought earlier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972,213/50 and paid to the appellant profit thereon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37,768/50. Thus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were charged to tax on £2,091 in respect of the difference between the purchase price and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redemption value of the Government Stock. The tax charged on this sum is the subject matter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 Assessment for the year of income 1965.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contended that the proceeds from the Government Stocks were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capital gains and therefore not liable to tax. It was maintained on behalf of the appellant company that it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merely invested its surplus capital in equity and Government Stocks which are safe securities and that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occasionally due to special circumstances such capital investments are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yielding the capital gains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not taxable under the Act.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says that the stock market in East Africa is insufficiently expansive to make it worthwhile to deal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stocks and shares with a view to making profits. In short, as I understood it the appellant’s portfolio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investment business of surplus moneys not immediately required for its insurance business was not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operative at the material time. That the transactions </w:t>
      </w:r>
      <w:r>
        <w:rPr>
          <w:rFonts w:ascii="Times New Roman" w:hAnsi="Times New Roman" w:cs="Times New Roman"/>
          <w:color w:val="000000"/>
        </w:rPr>
        <w:lastRenderedPageBreak/>
        <w:t>were isolated transactions of capital investments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stocks and shares with the result that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these by way of sale of equity shares and redemption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Government stocks resulted in accretion of their capital and therefore capital gains.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contended on behalf of the respondent that the sale of the shares and redemption of government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stock was a normal business transaction by the appellant as an insurance company carrying on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of insurance and investment of their surplus funds and therefore the proceeds of the said sale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redemption of the government stock were normal business profits. The profits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were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revenue nature subject to income tax.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charging section is s. 3 of the East African Income Tax (Management) Act 1958 which charges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 upon the income accrued on or derived from E.A. in respect of gains or profits from any business. 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 of the Act provides the machinery for computing gains or profits of insurance companies from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business and provides in sub-s. (3) thereof as follows: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“(3) The gains or profits for any year of income from the insurance business other than life insurance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business shall be the amount arrived at after–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aking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for the year of income the sum of–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ii)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amount of other income from such business, including any commission or expense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allowance received or receivable from re-insurers and any income derived from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investments held in connection with such business.”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that “income derived from investments” is not appropriate to cover profits from sale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investments because these are from sale of investments and not income derived from investments held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connection with the business of the appellant’s insurance company. He said that the profits made on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sale of the shares and from redemption of the stock was mere enhancement of their security. In other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accretion of the appellant’s investments of surplus funds. This being so any accretion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investment of surplus funds was not liable to tax.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real issue is whether the appellant’s investment of these shares and stocks was in connection with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insurance business and whether the gains or profits made on the sale of the equity and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redemption of Government stock was a capital gain or a gain of a revenue nature.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A. G. Hussein </w:t>
      </w:r>
      <w:proofErr w:type="spellStart"/>
      <w:r>
        <w:rPr>
          <w:rFonts w:ascii="Times New Roman" w:hAnsi="Times New Roman" w:cs="Times New Roman"/>
          <w:color w:val="000000"/>
        </w:rPr>
        <w:t>Nanji</w:t>
      </w:r>
      <w:proofErr w:type="spellEnd"/>
      <w:r>
        <w:rPr>
          <w:rFonts w:ascii="Times New Roman" w:hAnsi="Times New Roman" w:cs="Times New Roman"/>
          <w:color w:val="000000"/>
        </w:rPr>
        <w:t>, the appellant company’s director, gave evidence that he had been on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of directors of the company since 1965 and that the main object of the appellant company was to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 on insurance business; that one of its subsidiary businesses was set out in paragraph (</w:t>
      </w:r>
      <w:r>
        <w:rPr>
          <w:rFonts w:ascii="Times New Roman" w:hAnsi="Times New Roman" w:cs="Times New Roman"/>
          <w:i/>
          <w:iCs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) of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Association; that reserve funds of the appellant company are held from time to time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cash, in equity investments and in Government stock. He went on: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given time the surplus cash was in the region between £400,000 and £500,000. We are not able to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 in everything we would wish to invest in. The stock exchange is too small in this country. If we started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buying shares the prices will unnecessarily go up. Whenever Government stocks are offered we take whatever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are offered. There are no other securities for instance gilt-edged securities. These factors make us have so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much money in our hands. No outlet to invest in. Whenever we acquire share investment we never sell them.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 we started selling shares the prices will go down because stock market is very small. The liquidity will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increase and our income will be less. Selling shares will aggravate liquidity and reduce income from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dividends.”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went on to say that whenever the appellant’s company buys government stocks the motive is to earn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interest: the policy being to help the government in its development policies.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books of accounts the sale of the shares in A.R.V. Holdings and the redemption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stocks for the relevant years were shown as profit on sale of investments. In the face of this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 xml:space="preserve"> sought to show that the appellant’s profits on sale of these shares and stocks was in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 of revenue but not capital gains derived from the appellant’s investments.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a committee to determine whether or not surplus funds should be invested.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answer to the court Mr. </w:t>
      </w:r>
      <w:proofErr w:type="spellStart"/>
      <w:r>
        <w:rPr>
          <w:rFonts w:ascii="Times New Roman" w:hAnsi="Times New Roman" w:cs="Times New Roman"/>
          <w:color w:val="000000"/>
        </w:rPr>
        <w:t>Nanji</w:t>
      </w:r>
      <w:proofErr w:type="spellEnd"/>
      <w:r>
        <w:rPr>
          <w:rFonts w:ascii="Times New Roman" w:hAnsi="Times New Roman" w:cs="Times New Roman"/>
          <w:color w:val="000000"/>
        </w:rPr>
        <w:t xml:space="preserve"> said: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investment committee was formed after I had joined the insurance company to carry out the objects of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clause (3)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>). . . . It is the business of investment committee to investigate acquisition of Government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stocks and shares in companies. We would invest in stocks and shares if possible.”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 that there was an investment committee of the appellant company to investigate the viability or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of carrying on the business of investments. If this was so then was the appellant’s business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included that of investment in stocks and shares, though stock exchange market in Kenya was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unfavourable</w:t>
      </w:r>
      <w:proofErr w:type="spellEnd"/>
      <w:r>
        <w:rPr>
          <w:rFonts w:ascii="Times New Roman" w:hAnsi="Times New Roman" w:cs="Times New Roman"/>
          <w:color w:val="000000"/>
        </w:rPr>
        <w:t>, a business of investment connected with the appellant’s insurance business?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says that it did not operate its investment portfolio and that investment of surplus funds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capital investment with a view to earning interest thereon. Yet there was an investment committee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formed in the years under review. It is true that the appellants had little say with respect to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stocks as the terms and conditions were pre-determined under a statute. The appellants could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deal with them as they wished. On the other hand they could sell their equity investments if they so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wished should the stock exchange market become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>. At least I understood them to infer that far.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pattern of their investments in stocks and shares </w:t>
      </w:r>
      <w:r>
        <w:rPr>
          <w:rFonts w:ascii="Times New Roman" w:hAnsi="Times New Roman" w:cs="Times New Roman"/>
          <w:color w:val="000000"/>
        </w:rPr>
        <w:lastRenderedPageBreak/>
        <w:t>for the relevant and subsequent years appears to me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regular and properly designed. The regularity of investments in stocks and equity appears to be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of well-planned policy of investments in stocks and shares.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this is the only limited viable market in their investment portfolio it does not necessarily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that the appellants are not engaged in the business of investment connected with their business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by the fact that they do not sell shares on day to day basis or that the government stocks are not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redeemable at the instance of the appellant. It is possible for someone to deal in investment of surplus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funds even though one has no power to call for redemption of stocks which are pre-regulated by statute.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also possible for someone to invest in equity shares with a view to making profits of a revenue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nature. It appears to me that the yardstick to measure what may be regarded as business and what is not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depends on the totality of the whole surrounding circumstances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particular case. I venture to say that an isolated transaction of any investment, whether in stocks or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shares may perhaps more readily fall in the category of capital investment while the systematic pattern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transactions does not. Mr.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sought to differentiate business investment and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investments or securities stating that the former may exist but what matters is the latter. I am unable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share this view. The Act uses the phrase “and any income derived from investments held in connection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such [insurance] business”. There was no doubt that the appellant’s surplus funds were held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connection with their business of insurance. He says that the phrase is not appropriate to cover profits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isolated sale of shares.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unable to see this. If the appellants were engaged in the business of investing in equity,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proceeds of the sale of those equity shares to a third party is income derived from the equity investment.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matters not whether the sale of the shares is frequent or not for once there is the element of investment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sale of the shares may take place at the instance of the holder. This argument goes in respect of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stock investments for once there is the investment, the redemption of the stock is determined at the time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such investment with the result that redemption of the investment stock at the predetermined time is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from the stock investment. If the appellants were engaged in the systematic pattern of investment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their surplus funds in equity shares or in Government stock it becomes inescapable that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such investments whether by way of an isolated sale of shares or predetermined redemption of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stock at a profit would be income derived from such investment held in connection with their business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insurance. If on the other hand the investment in equity shares or in Government stock was once for all,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i.e. an isolated transaction of investment of surplus funds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such securities at a gain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be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capital investment with its accretion. I say once for all meaning that initial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investments remained wholly unchanged by systematic additions.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fortified in this by the decision in </w:t>
      </w:r>
      <w:r>
        <w:rPr>
          <w:rFonts w:ascii="Times New Roman" w:hAnsi="Times New Roman" w:cs="Times New Roman"/>
          <w:i/>
          <w:iCs/>
          <w:color w:val="000000"/>
        </w:rPr>
        <w:t>N. Ltd. v. Income Tax</w:t>
      </w:r>
      <w:r>
        <w:rPr>
          <w:rFonts w:ascii="Times New Roman" w:hAnsi="Times New Roman" w:cs="Times New Roman"/>
          <w:color w:val="000000"/>
        </w:rPr>
        <w:t>, [1974] E.A. 120 in which Trevelyan, J.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at p. 124: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do not doubt that an isolated transaction such as we have here may be taxable but this can be so only if the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venture – call it what you will – is in the nature of trade.”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Clyde in </w:t>
      </w:r>
      <w:r>
        <w:rPr>
          <w:rFonts w:ascii="Times New Roman" w:hAnsi="Times New Roman" w:cs="Times New Roman"/>
          <w:i/>
          <w:iCs/>
          <w:color w:val="000000"/>
        </w:rPr>
        <w:t>Commissioners of Inland Revenue v. Livingston</w:t>
      </w:r>
      <w:r>
        <w:rPr>
          <w:rFonts w:ascii="Times New Roman" w:hAnsi="Times New Roman" w:cs="Times New Roman"/>
          <w:color w:val="000000"/>
        </w:rPr>
        <w:t>, 11 T.C. 538 at p. 542 said: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think the profits of an isolated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venture, . .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be taxable . . . provided the venture is ‘in the nature of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trade’. I say ‘may be’ because in my view regard must be had to the character and circumstances of a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 venture. If the venture was one consisting simply in an isolated purchase of some articles against an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expected rise in price and a subsequent sale, it might be possible to say that the venture was ‘in the nature of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trade’ because the only trade in the nature of which it could be participated would be the trade of a dealer in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article, and a single transaction falls far short of constituting a dealer’s trade. . . . The trade of a dealer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necessarily consists of a course of dealing. . . . But this principle is difficult to apply to ventures of a more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complex character. . . . I think the test, which must be used to determine whether a venture such as we are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now considering is, or is not, ‘in the nature of trade’, is whether the operations involved in it are of the same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kind, and carried on in the same way, as those which are characteristic of ordinary trading in the line of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business in which the venture was made.”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instance case, the characteristics of the transaction are of a systematic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kind and carried on the same way, that is to say the venture was merely investments in equities and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stocks and this in my opinion was a well-calculated venture in the nature of trade. Looking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scheme as a whole the question of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securities whether by means of an isolated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 or not does not affect the venture. Let us see whether the appellant falls in one or the other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two categories.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statement of facts in both appeals the appellant stated that it held cash balances ranging from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£325,479 to £536,097 for the years from 1964 to 1970. That during these years they had investment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equities ranging from £207,318 to £751,380 and also in Government stock ranging from £344,180 to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£394,626 for the same period. They </w:t>
      </w:r>
      <w:r>
        <w:rPr>
          <w:rFonts w:ascii="Times New Roman" w:hAnsi="Times New Roman" w:cs="Times New Roman"/>
          <w:color w:val="000000"/>
        </w:rPr>
        <w:lastRenderedPageBreak/>
        <w:t>did in fact invest in equities and stocks every year and the figures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 to show an upward trend more or less corresponding with the upward trend of the cash balances they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at the end of each year. This period of course relates to subsequent years but it is relevant as far as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pattern and system is concerned. For this subsequent period it is clear that the appellant had a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systematic system of investing their surplus funds in equities and stocks every year. We are not told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pattern of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or redemption of the shares and stocks during this period. As far as the redemption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stocks was concerned this was predetermined by statute and is or was bound to come at the occurrence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predetermined event or time. The question of being an isolated transaction does not therefore arise.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the investments in equities the pattern is systematic but the question of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by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of sale whether in an isolated transaction or not does not affect the issue. The appellant invested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26 companies with total individual shares held of about 465,000 and I find it difficult to come to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conclusion than their investment portfolio was operative for these subsequent years.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previous period culminating in the years of income the appellant says that it held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shares in Cooper Motor Corporation as part of its equity investment, which it “held for many years”.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they had purchased twice in 1961 Government stocks which matured in 1965. In addition, there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evidence that the investment committee was formed after 1965, that the gains or profits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from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investments in equities and in stock were shown as profits in the appellant’s profit and loss accounts;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pattern of investment prior and subsequent to the years of income show a systematic pattern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investment business. Taking these facts in their totality, I can come to no other conclusion than that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portfolio of investment was also operative prior to the years of income in question.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was referred to the case of the </w:t>
      </w:r>
      <w:r>
        <w:rPr>
          <w:rFonts w:ascii="Times New Roman" w:hAnsi="Times New Roman" w:cs="Times New Roman"/>
          <w:i/>
          <w:iCs/>
          <w:color w:val="000000"/>
        </w:rPr>
        <w:t>Commissioners of Inland Revenue v. The Scottish Automobile</w:t>
      </w:r>
      <w:r>
        <w:rPr>
          <w:rFonts w:ascii="Times New Roman" w:hAnsi="Times New Roman" w:cs="Times New Roman"/>
          <w:color w:val="000000"/>
        </w:rPr>
        <w:t>, 16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T.C. 381 in which it was held that the net profit arising from </w:t>
      </w:r>
      <w:proofErr w:type="spellStart"/>
      <w:r>
        <w:rPr>
          <w:rFonts w:ascii="Times New Roman" w:hAnsi="Times New Roman" w:cs="Times New Roman"/>
          <w:color w:val="000000"/>
        </w:rPr>
        <w:t>realisations</w:t>
      </w:r>
      <w:proofErr w:type="spellEnd"/>
      <w:r>
        <w:rPr>
          <w:rFonts w:ascii="Times New Roman" w:hAnsi="Times New Roman" w:cs="Times New Roman"/>
          <w:color w:val="000000"/>
        </w:rPr>
        <w:t xml:space="preserve"> of investments was not a trading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profit.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appreciate that the question as to whether a person is or is not engaged in a trade is a question of fact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each case must be viewed on its own facts. In the </w:t>
      </w:r>
      <w:r>
        <w:rPr>
          <w:rFonts w:ascii="Times New Roman" w:hAnsi="Times New Roman" w:cs="Times New Roman"/>
          <w:i/>
          <w:iCs/>
          <w:color w:val="000000"/>
        </w:rPr>
        <w:t xml:space="preserve">Scottish </w:t>
      </w:r>
      <w:r>
        <w:rPr>
          <w:rFonts w:ascii="Times New Roman" w:hAnsi="Times New Roman" w:cs="Times New Roman"/>
          <w:color w:val="000000"/>
        </w:rPr>
        <w:t>case, the taxpayer had reserve funds from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incorporation and these were invested exclusively in Government securities. There was increase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successive purchases of additional securities but the securities remained wholly unchanged. Lord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 Clyde held that there was evidence that the taxpayer was not engaging in a trade of investment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securities.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Scottish </w:t>
      </w:r>
      <w:r>
        <w:rPr>
          <w:rFonts w:ascii="Times New Roman" w:hAnsi="Times New Roman" w:cs="Times New Roman"/>
          <w:color w:val="000000"/>
        </w:rPr>
        <w:t>case is clearly distinguishable on facts from the present case. A glance at the facts tends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show that the case is similar to the present one but on close analysis it is not. In the </w:t>
      </w:r>
      <w:r>
        <w:rPr>
          <w:rFonts w:ascii="Times New Roman" w:hAnsi="Times New Roman" w:cs="Times New Roman"/>
          <w:i/>
          <w:iCs/>
          <w:color w:val="000000"/>
        </w:rPr>
        <w:t xml:space="preserve">Scottish </w:t>
      </w:r>
      <w:r>
        <w:rPr>
          <w:rFonts w:ascii="Times New Roman" w:hAnsi="Times New Roman" w:cs="Times New Roman"/>
          <w:color w:val="000000"/>
        </w:rPr>
        <w:t>case,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taxpayer company was not authorised by its Memorandum of Association to engage in investments.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invest the surpluses was subsidiary and in normal course of business. The investments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right from incorporation of the company remained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wholly unchanged over the years and the treatment of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investments in their books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indicated that the company was not engaged in a trade of investment of surplus funds. This is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so in the present case. The appellant was authorised by its Memorandum of Association to invest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surplus funds, there was an investment committee which regulated the policy of investments,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invested in equities in various companies as well as in Government stocks whose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predetermined, the sale of bonus shares issues in A.R.V. Holdings was not without their sanction and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accounting of the profits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from the sale of their equities and the redemption of their stock, all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factors taken in their totality point to the conclusion that the appellants were engaged in investment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business, though limited by the nature of stock market in East Africa. There was evidence that if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stock market was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they would actively participate in that business. So I find that the </w:t>
      </w:r>
      <w:r>
        <w:rPr>
          <w:rFonts w:ascii="Times New Roman" w:hAnsi="Times New Roman" w:cs="Times New Roman"/>
          <w:i/>
          <w:iCs/>
          <w:color w:val="000000"/>
        </w:rPr>
        <w:t>Scottish</w:t>
      </w:r>
      <w:r w:rsidR="00CF5D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does not help the appellants and in any event its decision was doubted in the </w:t>
      </w:r>
      <w:r>
        <w:rPr>
          <w:rFonts w:ascii="Times New Roman" w:hAnsi="Times New Roman" w:cs="Times New Roman"/>
          <w:i/>
          <w:iCs/>
          <w:color w:val="000000"/>
        </w:rPr>
        <w:t>Punjab Co-operative</w:t>
      </w:r>
      <w:r w:rsidR="00CF5D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Bank </w:t>
      </w:r>
      <w:r>
        <w:rPr>
          <w:rFonts w:ascii="Times New Roman" w:hAnsi="Times New Roman" w:cs="Times New Roman"/>
          <w:color w:val="000000"/>
        </w:rPr>
        <w:t>case (below).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company was from inception empowered to overrate its investment portfolio with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profit-making in view. Once the appellant invoked that portfolio,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investments at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enhanced value was not merely incidental or as they say, isolated, but was the essential feature of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business, speculating only in limited fields of the stock market for making profits within the appointed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was also referred to the </w:t>
      </w:r>
      <w:r>
        <w:rPr>
          <w:rFonts w:ascii="Times New Roman" w:hAnsi="Times New Roman" w:cs="Times New Roman"/>
          <w:i/>
          <w:iCs/>
          <w:color w:val="000000"/>
        </w:rPr>
        <w:t>California Copper Syndicate v. Harris</w:t>
      </w:r>
      <w:r>
        <w:rPr>
          <w:rFonts w:ascii="Times New Roman" w:hAnsi="Times New Roman" w:cs="Times New Roman"/>
          <w:color w:val="000000"/>
        </w:rPr>
        <w:t>, 5 T.C. 159. The facts were that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Syndicate was formed,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to acquire copper and other mines, to prospect and explore etc. It was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to carry on mercantile commercial, financing and trading business . . . to acquire shares or stock of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company and to accept payment in shares for property sold or business undertaken or services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rendered and to hold, sell or dispose of the same. It made profit on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shares and did buy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copper bearing land which it later sold at fully paid up shares. It was held </w:t>
      </w:r>
      <w:r>
        <w:rPr>
          <w:rFonts w:ascii="Times New Roman" w:hAnsi="Times New Roman" w:cs="Times New Roman"/>
          <w:color w:val="000000"/>
        </w:rPr>
        <w:lastRenderedPageBreak/>
        <w:t>that the difference between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price and the value of the shares for which the property was exchanged was a profit from a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Lord Justice Clerk had this to say in his opinion at p. 165: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quite a well settled principle in dealing with questions of assessment of Income Tax, that where the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owner of an ordinary investment chooses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it, and obtains a greater price for it than he originally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acquired it at, the enhanced price is not profit in the sense of Schedule D of the Income Tax Act of 1842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assessable to Income Tax. But it is equally well established that enhanced values obtained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conversion of securities may be so assessable, where what is done is not merely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change of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investment, but an act done in what is truly the carrying on, or carrying out, of a business.”</w:t>
      </w:r>
      <w:r w:rsidR="00CF5D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adopt this yardstick whether the appellant’s gains were mere enhancement of value by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their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securities or whether the gains were made in the operation of a scheme for profit-making. The evidence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me supports the latter.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pattern of the appellant’s investment portfolio was enshrined in its Memorandum of Association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 by a systematic scheme of investments in equities and stocks. The objective cannot be said to be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than profit-making.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Punjab Co-operative Bank v. Income Tax</w:t>
      </w:r>
      <w:r>
        <w:rPr>
          <w:rFonts w:ascii="Times New Roman" w:hAnsi="Times New Roman" w:cs="Times New Roman"/>
          <w:color w:val="000000"/>
        </w:rPr>
        <w:t>, [1940] A.C. 1055 approving the decision in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California Copper Syndicate </w:t>
      </w:r>
      <w:r>
        <w:rPr>
          <w:rFonts w:ascii="Times New Roman" w:hAnsi="Times New Roman" w:cs="Times New Roman"/>
          <w:color w:val="000000"/>
        </w:rPr>
        <w:t xml:space="preserve">case and doubting </w:t>
      </w:r>
      <w:r>
        <w:rPr>
          <w:rFonts w:ascii="Times New Roman" w:hAnsi="Times New Roman" w:cs="Times New Roman"/>
          <w:i/>
          <w:iCs/>
          <w:color w:val="000000"/>
        </w:rPr>
        <w:t xml:space="preserve">Scottish Automobile </w:t>
      </w:r>
      <w:r>
        <w:rPr>
          <w:rFonts w:ascii="Times New Roman" w:hAnsi="Times New Roman" w:cs="Times New Roman"/>
          <w:color w:val="000000"/>
        </w:rPr>
        <w:t xml:space="preserve">case, it was held that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bank of some of its securities in order to meet withdrawals by disposition is a normal step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carrying on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banking business and the amount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on the sale of the securities over their cost price was taxable.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contended on behalf of the appellant that, because the surplus funds invested in equities and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stocks were not required to meet the appellant’s day to day claims, even unpreceded claims,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investments therefore were not an act done in carrying on the business of investment connected with their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business of insurance, and that the accruals on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securities were incidental. As I have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tried to show the investment portfolio was an essential feature entrenched in the company’s constitution.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Once the essential feature was invoked it matters not whether the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was an isolated one or not.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criterion is whether the appellant engaged in a scheme of investment business of surplus funds and I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they were. The fact that they did not resort to the investments to meet day to day claims did not alter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essential feature of business of investments. If they did resort to these investments to meet their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clients’ claims, it would have only provided evidence that the business was linked and connected with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insurance business and nothing more.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above decisions were followed in </w:t>
      </w:r>
      <w:r>
        <w:rPr>
          <w:rFonts w:ascii="Times New Roman" w:hAnsi="Times New Roman" w:cs="Times New Roman"/>
          <w:i/>
          <w:iCs/>
          <w:color w:val="000000"/>
        </w:rPr>
        <w:t>General Reinsurance v. Tomlinson</w:t>
      </w:r>
      <w:r>
        <w:rPr>
          <w:rFonts w:ascii="Times New Roman" w:hAnsi="Times New Roman" w:cs="Times New Roman"/>
          <w:color w:val="000000"/>
        </w:rPr>
        <w:t>, [1970] 2 All E.R. 436. I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 in whole the reasoning in Foster, J.’s judgment at p. 439 in arriving at the conclusion as I have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on the facts of the present case.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think it worthwhile to refer to the other cases cited to me as the principle applicable in this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is well established as stated in the </w:t>
      </w:r>
      <w:r>
        <w:rPr>
          <w:rFonts w:ascii="Times New Roman" w:hAnsi="Times New Roman" w:cs="Times New Roman"/>
          <w:i/>
          <w:iCs/>
          <w:color w:val="000000"/>
        </w:rPr>
        <w:t xml:space="preserve">Californian Copper Syndicate </w:t>
      </w:r>
      <w:r>
        <w:rPr>
          <w:rFonts w:ascii="Times New Roman" w:hAnsi="Times New Roman" w:cs="Times New Roman"/>
          <w:color w:val="000000"/>
        </w:rPr>
        <w:t>case.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may mention in conclusion that the issue of bonus shares in A.R.V. Holdings, though no cash was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by the appellant, does not affect the question of tax liability. The sale of those shares at a profit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attracted tax and the appellant cannot escape liability on the ground that it was an isolated case or that no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cash was involved.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result is that the appellant was engaged in the business of investment of surplus funds connected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its business of insurance. The profits on the sale of the bonus equities issued by Cooper Motors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A.R.V. Holdings and the redemption of the Government Stock for the years of income 1964 and 1965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in the nature of trade. The profit made on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securities was of a revenue nature and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liable to tax. Let me put it another way. The appellant by its memorandum could carry on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types of business. One of them is specified in Clause 3 (</w:t>
      </w:r>
      <w:r>
        <w:rPr>
          <w:rFonts w:ascii="Times New Roman" w:hAnsi="Times New Roman" w:cs="Times New Roman"/>
          <w:i/>
          <w:iCs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) above. The appellant can say: we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invested the money as we did reluctantly and so are not required to treat them as revenue. But whether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particular business was or was not carried on reluctantly is not material. It was carried on. If that is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it matters not at all whether the shares or stock produced dividends bonus shares or a profit in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sale or redemption for it is unlike say, the sale of a supplies shop at which trade is carried on and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venture, i.e. that concerning stocks and shares within the rule in </w:t>
      </w:r>
      <w:r>
        <w:rPr>
          <w:rFonts w:ascii="Times New Roman" w:hAnsi="Times New Roman" w:cs="Times New Roman"/>
          <w:i/>
          <w:iCs/>
          <w:color w:val="000000"/>
        </w:rPr>
        <w:t xml:space="preserve">N. Ltd. v. Income Tax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“in the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nature of trade”. So even isolated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attracts tax.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Commissioner-General’s decision on the issue was justifiable and I see no ground for disturbing</w:t>
      </w:r>
      <w:r w:rsidR="00CF5D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 The appeals are dismissed with costs.</w:t>
      </w:r>
    </w:p>
    <w:p w:rsidR="00976CC0" w:rsidRDefault="00CF5DCA" w:rsidP="00CF5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976CC0"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Deverell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Kaplan &amp; Stratton</w:t>
      </w:r>
      <w:r>
        <w:rPr>
          <w:rFonts w:ascii="Times New Roman" w:hAnsi="Times New Roman" w:cs="Times New Roman"/>
          <w:color w:val="000000"/>
        </w:rPr>
        <w:t>, Nairobi)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976CC0" w:rsidRDefault="00976CC0" w:rsidP="00976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(Deputy Counsel to the Community)</w:t>
      </w:r>
    </w:p>
    <w:p w:rsidR="003278A0" w:rsidRDefault="003278A0"/>
    <w:sectPr w:rsidR="003278A0" w:rsidSect="00A9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C0"/>
    <w:rsid w:val="003278A0"/>
    <w:rsid w:val="00976CC0"/>
    <w:rsid w:val="00C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41D96-F5AB-4F65-AA09-6D5FA03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2018-07-06T11:25:00Z</dcterms:created>
  <dcterms:modified xsi:type="dcterms:W3CDTF">2018-07-12T18:08:00Z</dcterms:modified>
</cp:coreProperties>
</file>