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Japan International Co-operation Agency (JICA) v Khaki Complex Limited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November 2005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151/05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Time within which application for stay of execution must be filed – When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limitation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period starts counting – Grounds for staying execution pending appeal.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17CA8" w:rsidRDefault="006359C6" w:rsidP="00217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applicant, Japan International Co-operation Agency (JICA) brought the present application for stay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 as well as raising a garnishee order attaching the applicant’s operational and development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account on the ground that if execution is not stayed, the operations of the applicant will be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paralysed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filed a Notice of Preliminary Objection under Rule 100 of the Court of Appeal Rules,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1979 to the effect that the application for stay of execution is time barred as it ought to be struck out with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costs. There being no extension of time to file this application four months after the first application was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out, the application is incompetent and should be struck out with costs. The applicant however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first application which was struck out on the 8 June 2005 was filed within the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period of sixty days so it was timeous. He contended that the present application was within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because the respondent became aware of the fate of the first application from the Registrar’s letter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27 September 2005 whereupon he filed the application on the 7 October 2005, within the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period of sixty days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thus, the period of limitation for the present application should be counted from the 27 September 2005.</w:t>
      </w:r>
      <w:r w:rsidR="00217CA8">
        <w:rPr>
          <w:rFonts w:ascii="Times New Roman" w:hAnsi="Times New Roman" w:cs="Times New Roman"/>
          <w:color w:val="000000"/>
        </w:rPr>
        <w:t xml:space="preserve"> </w:t>
      </w:r>
    </w:p>
    <w:p w:rsidR="00217CA8" w:rsidRDefault="00217CA8" w:rsidP="00217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17CA8" w:rsidRDefault="006359C6" w:rsidP="00217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was no material in the record to show that the applicant had knowledge that the application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stay had been ruled upon by the court. It was therefore reasonable to count the registrar’s letter of 27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2005 as the first information reaching the applicant alerting it that the first application for stay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 had been struck out on the 8 June 2005.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cannot be blamed for the failure of their former advocates to follow up the matter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communicate the striking out of the first application for stay of execution because it was not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that the former advocates of the applicant had knowledge of the Ruling. They might or might not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present when the Ruling was delivered on 8 June 2005 because there is no indication one way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the other in the records. Under the circumstances, the period of limitation was to be counted from the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 September 2005 when the Registrar notified the parties that stay of execution was rejected on 8 June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2005.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respect, the present application was within the sixty days prescribed period of limitation for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for stay of execution and the preliminary objection was overruled.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sufficient ground for staying execution in this case pending determination of the appeal.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award of US$ 300 000 damages for breach of the construction and tenancy agreement was a serious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triable issue in the pending appeal. The balance of convenience tilted in favour of the applicant because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remained with the building which the applicant declined to rent. If the applicant pays the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decretal amount before the pending appeal is determined and later pending appeal succeeds, the applicant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to suffer the inconvenience of reclaiming the decretal amount from the respondent and there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 guarantee that the said money would be easily retrieved and restored to the applicant.</w:t>
      </w:r>
      <w:r w:rsidR="00217C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execution granted and garnishee order nullified.</w:t>
      </w:r>
      <w:r w:rsidR="00217CA8">
        <w:rPr>
          <w:rFonts w:ascii="Times New Roman" w:hAnsi="Times New Roman" w:cs="Times New Roman"/>
          <w:color w:val="000000"/>
        </w:rPr>
        <w:t xml:space="preserve"> </w:t>
      </w:r>
    </w:p>
    <w:p w:rsidR="00217CA8" w:rsidRDefault="00217CA8" w:rsidP="00217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359C6" w:rsidRDefault="006359C6" w:rsidP="00217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East Africa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Furaha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Shao v National Bank of Commerce </w:t>
      </w:r>
      <w:r>
        <w:rPr>
          <w:rFonts w:ascii="Times New Roman" w:hAnsi="Times New Roman" w:cs="Times New Roman"/>
          <w:color w:val="000000"/>
        </w:rPr>
        <w:t>civil application number 9 of 1999 (CA)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John 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Kerenge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Joel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Mabiba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19 of 1998 (CA) (UR)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Laswaki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Village Council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Paresoi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Shuaka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Shibesh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23 of 1997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(CA) (UR)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Housing Corporation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Etienes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Hotel </w:t>
      </w:r>
      <w:r>
        <w:rPr>
          <w:rFonts w:ascii="Times New Roman" w:hAnsi="Times New Roman" w:cs="Times New Roman"/>
          <w:color w:val="000000"/>
        </w:rPr>
        <w:t>civil application number 175 of 2004 (CA) (UR)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Permanent Secretary Ministry of Agriculture and the Attorney General v 21st Century Food and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Packaging Limited and Sugar Board of Tanzania </w:t>
      </w:r>
      <w:r>
        <w:rPr>
          <w:rFonts w:ascii="Times New Roman" w:hAnsi="Times New Roman" w:cs="Times New Roman"/>
          <w:color w:val="000000"/>
        </w:rPr>
        <w:t>civil application number 48 of 2004 (CA) (UR)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103 of [2006] 2 EA 101 (CAT)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Suleiman Ally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Nyamalegi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Mwanza Engineering works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9 of</w:t>
      </w:r>
    </w:p>
    <w:p w:rsidR="006359C6" w:rsidRDefault="006359C6" w:rsidP="0063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2002 (CA) (UR)</w:t>
      </w:r>
    </w:p>
    <w:p w:rsidR="00AB7022" w:rsidRDefault="006359C6" w:rsidP="006359C6">
      <w:r>
        <w:rPr>
          <w:rFonts w:ascii="Times New Roman" w:hAnsi="Times New Roman" w:cs="Times New Roman"/>
          <w:i/>
          <w:iCs/>
          <w:color w:val="000000"/>
        </w:rPr>
        <w:t xml:space="preserve">Tanzania Fishing Processors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Ltimited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Christopher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Lubunyula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C6"/>
    <w:rsid w:val="00217CA8"/>
    <w:rsid w:val="006359C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5F6C3-9725-4848-88E3-3CF07D6D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2018-07-05T06:15:00Z</dcterms:created>
  <dcterms:modified xsi:type="dcterms:W3CDTF">2018-07-12T18:09:00Z</dcterms:modified>
</cp:coreProperties>
</file>