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Japan International Co-operation Agency (JICA) v Khaki Complex Limited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November 2005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151/05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Time within which application for stay of execution must be filed – When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limitation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period starts counting – Grounds for staying execution pending appeal.</w:t>
      </w:r>
    </w:p>
    <w:p w:rsidR="0012167B" w:rsidRDefault="005F444D" w:rsidP="005F44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12167B" w:rsidRDefault="0012167B" w:rsidP="005F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applicant, Japan International Co-operation Agency (JICA), brought the present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of execution as well as raising a garnishee order attaching the applicant’s operational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development expenditure account on the ground that if execution is not stayed, the operations of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will be </w:t>
      </w:r>
      <w:proofErr w:type="spellStart"/>
      <w:r>
        <w:rPr>
          <w:rFonts w:ascii="Times New Roman" w:hAnsi="Times New Roman" w:cs="Times New Roman"/>
          <w:color w:val="000000"/>
        </w:rPr>
        <w:t>paralysed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  <w:r>
        <w:rPr>
          <w:rFonts w:ascii="Times New Roman" w:hAnsi="Times New Roman" w:cs="Times New Roman"/>
          <w:color w:val="000000"/>
        </w:rPr>
        <w:t>, learned Advocate, represented the applicant judgment debtor in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case number 45 of 2003 in the Commercial Court Division of the High Court of Tanzania at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-Salaam, in which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Bwana J decreed US$ 300 000 damages for breach of a tenancy agreement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favour of the respondent judgement creditor, Khaki Complex Limited, the landlord, on the 4 March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2004. In this application,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learned Advocate, represented the respondent whom he also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in the Commercial Court.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 filed a Notice of Preliminary Objection under rule 100 of the Court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Rules, 1979, to the effect that the application for stay of execution is time barred as it ought to be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out with costs. Contending that the application for stay of execution has been filed out of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period of limitation of sixty days, he observed that the application ought to have been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instituted within sixty days of the first application for stay of execution being struck out by the court 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8 June 2005 for lack of a copy of the decree then sought to be stayed. There being no extension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to file this application four months after the first application was struck out, the application is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and should be struck out with costs, counsel for the respondent maintained. The applicable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counsel pointed out, for the period of limitation for applications for stay of execution, is 60 days as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for under the first schedule, item 21 of the Law of Limitation Act, 1971.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respondent cited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National Housing Corporation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Etienes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Hotel </w:t>
      </w:r>
      <w:r>
        <w:rPr>
          <w:rFonts w:ascii="Times New Roman" w:hAnsi="Times New Roman" w:cs="Times New Roman"/>
          <w:color w:val="000000"/>
        </w:rPr>
        <w:t>civil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number 175 of 2004 (CA) (UR), </w:t>
      </w:r>
      <w:r>
        <w:rPr>
          <w:rFonts w:ascii="Times New Roman" w:hAnsi="Times New Roman" w:cs="Times New Roman"/>
          <w:i/>
          <w:iCs/>
          <w:color w:val="000000"/>
        </w:rPr>
        <w:t xml:space="preserve">Suleiman Ally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Nyamalegi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Mwanza Engineering</w:t>
      </w:r>
      <w:r w:rsidR="005F44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works Limited </w:t>
      </w:r>
      <w:r>
        <w:rPr>
          <w:rFonts w:ascii="Times New Roman" w:hAnsi="Times New Roman" w:cs="Times New Roman"/>
          <w:color w:val="000000"/>
        </w:rPr>
        <w:t xml:space="preserve">civil application number 9 of 2002 (CA) (UR),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Laswaki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Village Council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Paresoi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Ole</w:t>
      </w:r>
      <w:r w:rsidR="005F444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Shuaka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Shibesh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23 of 1997 (CA) (UR), in which the court held that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limitation for applications for stay of execution is sixty days as stipulated in the first schedule,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item 21 of the Law of Limitation Act, 1971. In view of the inordinate delay in filing the present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four months after the first application for stay of execution was struck out on the 8 June 2005,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 urged the court to uphold the preliminary objection and thence strike out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with costs, underscoring the observation of the single judge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Loswaki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Village Council</w:t>
      </w:r>
      <w:r w:rsidR="005F44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):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who seek the aid of the law by instituting proceedings in a court of justice must file such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within the period prescribed by law or, where no such period is prescribed, within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time. This is an elementary rule of law.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Refuting the respondent’s claim that the present application is time barred, counsel for the applicant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first application which was struck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on the 8 June 2005, was filed within the prescribed period of sixty days so it was timeous. 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even the present application is within time because the respondent became aware of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fate of the first application from the Registrar’s letter dated the 27 September 2005 whereupon,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filed this application for stay of execution on the 7 October 2005 within the prescribed period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sixty days. Although the first application was struck out on the 8 June 2005, counsel for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asserted, the former counsel of the respondent did not notify the respondent and it was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Registrar’s letter of the 27 September 2005 which enabled the respondent to know that the first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of execution had been struck out with costs on the 8 June 2005 so the period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for the present application should be counted from the 27 September 2005. By so counting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limitation, counsel for the applicant contended, this application is timeous because it was filed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 the </w:t>
      </w:r>
      <w:r>
        <w:rPr>
          <w:rFonts w:ascii="Times New Roman" w:hAnsi="Times New Roman" w:cs="Times New Roman"/>
          <w:color w:val="000000"/>
        </w:rPr>
        <w:lastRenderedPageBreak/>
        <w:t>statutory period of limitation of sixty days. Hence, the preliminary objection should be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overruled, he maintained, adopting the affidavits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to by Toshihiro Obata to support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is whether the application for stay of execution is time barred.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scrutiny of the record shows that the applicant’s assertion that they became aware of the rejection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first application for stay of execution upon receiving the Registrar’s letter of the 27 September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2005 is plausible. One, the letter from South Law Chambers, Annexure 3 to the notice of motion, was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on the 3 December 2004 advising the applicant that the ruling in the application for stay had been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reserved. Two, there is no material in the record to show that the applicant had knowledge that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had been ruled upon by the court. It is therefore reasonable to count the registrar’s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of the 27 September 2005 as the first information reaching the applicant alerting it that the first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of execution had been stuck out with costs on the 8 June 2005. Three, the applicant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blamed for the failure of South Law Chambers, the applicant’s former counsel, to follow up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and, or, communicate the striking out of the first application for stay of execution because it was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proved that the former advocates of the applicant had knowledge of the ruling. They might or might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have been present when the ruling was delivered on the 8 June 2005 because there is no indication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way or the other in this record. Under the circumstances the period of limitation shall be counted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27 September 2005 when the registrar notified the parties that stay of execution was rejected 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8 June 2005. Upon the said letter of the registrar, the applicant instituted the present application 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7 October 2005 about a fortnight from the 27 September 2005. In that respect, the present application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within the sixty days prescribed period of limitation for applying for stay of execution. For that reason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overrule the preliminary objection.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merits of the application for stay of execution, counsel for the applicant submitted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applicant will suffer irreparable loss and greater hardship than the respondent if execution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before the pending appeal is determined because the applicant operates a sole account for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and development so if the said sole account is attached, the operations of the applicant will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a halt causing irreparable loss in its operations. Counsel for the applicant contended that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would not be able to refund the large decretal amount of US$ 300 000 if the appeal succeeds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on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convenience, execution should be stayed pending the determination of the appeal.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applicant cited the cases of </w:t>
      </w:r>
      <w:r>
        <w:rPr>
          <w:rFonts w:ascii="Times New Roman" w:hAnsi="Times New Roman" w:cs="Times New Roman"/>
          <w:i/>
          <w:iCs/>
          <w:color w:val="000000"/>
        </w:rPr>
        <w:t>Tanzania Fishing Processors Limited v Christopher</w:t>
      </w:r>
      <w:r w:rsidR="005F444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Lubunyula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application number 13 of 2003 (CA) (UR), </w:t>
      </w:r>
      <w:r>
        <w:rPr>
          <w:rFonts w:ascii="Times New Roman" w:hAnsi="Times New Roman" w:cs="Times New Roman"/>
          <w:i/>
          <w:iCs/>
          <w:color w:val="000000"/>
        </w:rPr>
        <w:t>Permanent Secretary Ministry of Agriculture</w:t>
      </w:r>
      <w:r w:rsidR="005F44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and the Attorney General v 21st Century Food and Packaging Limited and Sugar Board of Tanzania</w:t>
      </w:r>
      <w:r w:rsidR="005F44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application number 48 of 2004 (CA) (UR), </w:t>
      </w:r>
      <w:r>
        <w:rPr>
          <w:rFonts w:ascii="Times New Roman" w:hAnsi="Times New Roman" w:cs="Times New Roman"/>
          <w:i/>
          <w:iCs/>
          <w:color w:val="000000"/>
        </w:rPr>
        <w:t xml:space="preserve">John 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Kerenge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Joel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Mabiba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 of 1998 (CA) (UR)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Furaha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Shao v National Bank of Commerce </w:t>
      </w:r>
      <w:r>
        <w:rPr>
          <w:rFonts w:ascii="Times New Roman" w:hAnsi="Times New Roman" w:cs="Times New Roman"/>
          <w:color w:val="000000"/>
        </w:rPr>
        <w:t>civil application number 9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 (CA) in which the Court granted stay of execution on the grounds of irreparable loss and great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hardship on the part of debtor </w:t>
      </w:r>
      <w:r>
        <w:rPr>
          <w:rFonts w:ascii="Times New Roman" w:hAnsi="Times New Roman" w:cs="Times New Roman"/>
          <w:i/>
          <w:iCs/>
          <w:color w:val="000000"/>
        </w:rPr>
        <w:t xml:space="preserve">vis à vis </w:t>
      </w:r>
      <w:r>
        <w:rPr>
          <w:rFonts w:ascii="Times New Roman" w:hAnsi="Times New Roman" w:cs="Times New Roman"/>
          <w:color w:val="000000"/>
        </w:rPr>
        <w:t>the judgment creditor.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resisted the application for stay of execution principally because the respondent is entitled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reap the fruits of the decree so the application should be dismissed with costs so that execution can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outright. On the respondent’s ability to refund the decretal amount in the event of the appeal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succeeding, counsel for the respondent contended that the building which was to be let to the applicant is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security for guaranteeing the refund of the decretal amount of US$ 300 000 if the respondent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loses the pending appeal. Furthermore, counsel for the respondent asserted that the applicant did not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particularise</w:t>
      </w:r>
      <w:proofErr w:type="spellEnd"/>
      <w:r>
        <w:rPr>
          <w:rFonts w:ascii="Times New Roman" w:hAnsi="Times New Roman" w:cs="Times New Roman"/>
          <w:color w:val="000000"/>
        </w:rPr>
        <w:t xml:space="preserve"> the loss JICA would suffer if the application for stay is not granted. Bare assertions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suffering irreparable loss on the part of the applicant, do not establish irreparable loss, such loss has to be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substantiated by the applicant, counsel for the respondent submitted.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for the authorities cited by counsel for the applicant urging the court to follow the same and grant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execution to avoid irreparable loss being occasioned to the applicant, counsel for the respondent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contended that </w:t>
      </w:r>
      <w:r>
        <w:rPr>
          <w:rFonts w:ascii="Times New Roman" w:hAnsi="Times New Roman" w:cs="Times New Roman"/>
          <w:i/>
          <w:iCs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Kerenge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is inapplicable here because in the said case, stay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was granted not to pre-empt irreparable loss if execution proceeded, but because the decretal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was uncertain.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Furaha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Shao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counsel for the respondent contended, is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distinguishable because the balance of convenience titled in favour of the applicant debtor rather than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judgment creditor, in that the former would be deprived of the sole residence he had and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thence be rendered homeless. All in all, counsel for the respondent prayed that the application for stay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be dismissed with cost for want of merit.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is whether there is sufficient ground for staying execution pending the determination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107 of 2004.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hasten to hold that there is, </w:t>
      </w:r>
      <w:r>
        <w:rPr>
          <w:rFonts w:ascii="Times New Roman" w:hAnsi="Times New Roman" w:cs="Times New Roman"/>
          <w:color w:val="000000"/>
        </w:rPr>
        <w:lastRenderedPageBreak/>
        <w:t>indeed, sufficient ground for staying execution in this case pending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appeal. To begin with, the award of US$ 300 000 damages for breach of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and tenancy agreement is a serious triable issue in the pending appeal so the matter should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determined before the damages are paid to the landlord, the respondent. Besides, the balance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 tilts in favour of the applicant because the respondent remained with the building which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declined to rent. The said building can be, and would consequent to the refusal of the applicant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occupy the same, be rented out to another party who will pay rent for the same thereby bringing in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for the respondent. On the contrary, if the applicant pays the decretal amount before the pending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is determined and later the pending appeal succeeds, the applicant would have to suffer the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inconvenience of reclaiming the decretal amount from the respondent and there is no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guarantee that the said money would be easily retrieved and restored to the applicant. On the balance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 therefore, the decretal amount and, or, any amount decreed in the pending appeal, ought to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paid after the determination of the appeal. Under the circumstances, I accordingly grant stay of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pending the determination of civil appeal number 107 of 2004 against the decision in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case number 45 of 2003 in the Commercial Division of the High Court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-Salaam,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resulting in the nullification of the garnishee order issued in the said case of the 3 October 2005. Costs to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abide the result of the pending appeal.</w:t>
      </w:r>
      <w:r w:rsidR="005F44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Mujulizi</w:t>
      </w:r>
      <w:proofErr w:type="spellEnd"/>
    </w:p>
    <w:p w:rsidR="0012167B" w:rsidRDefault="0012167B" w:rsidP="0012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12167B" w:rsidP="0012167B"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Lamwai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7B"/>
    <w:rsid w:val="0012167B"/>
    <w:rsid w:val="005F444D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A5451-7488-4956-8C04-7F155CAA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2018-07-05T06:16:00Z</dcterms:created>
  <dcterms:modified xsi:type="dcterms:W3CDTF">2018-07-12T18:10:00Z</dcterms:modified>
</cp:coreProperties>
</file>