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Manager PBZ Ltd and others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7/02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Issues – Whether appellate court may consider an issue not framed at trial – Order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XVI, rule 1(5) – Civil Procedure Decree (Chapter 8).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Mortgage – Simple mortgage – Loan agreement between Appellant and bank – Whether mortgage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was simple mortgage in terms of section 58(3) of Transfer of Property Decree – Whether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intervention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court necessary before sale of mortgage property – Sections 58 and 69 – Transfer of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Property Decree (Chapter 150).</w:t>
      </w:r>
    </w:p>
    <w:p w:rsidR="00CB608E" w:rsidRDefault="00544484" w:rsidP="005444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44484" w:rsidRDefault="00CB608E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Lubuva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Munuo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Nsekela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</w:t>
      </w:r>
      <w:r>
        <w:rPr>
          <w:rFonts w:ascii="Times New Roman" w:hAnsi="Times New Roman" w:cs="Times New Roman"/>
          <w:color w:val="000000"/>
        </w:rPr>
        <w:t xml:space="preserve">: The Appellant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Jaffer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>, was the owner of the right of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occupancy registered under title number 325 A-3 of 1987. On 24 May 1994 the Appellant executed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Makataba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Mkopo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Fedha</w:t>
      </w:r>
      <w:proofErr w:type="spellEnd"/>
      <w:r>
        <w:rPr>
          <w:rFonts w:ascii="Times New Roman" w:hAnsi="Times New Roman" w:cs="Times New Roman"/>
          <w:color w:val="000000"/>
        </w:rPr>
        <w:t xml:space="preserve"> (loan agreement) under which the First Respondent, Secretary, Peoples’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 of Zanzibar (“the bank”), granted to the Appellant overdraft facilities amounting to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1,5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which was to be repaid within six months. As at 24 November 1994, apparently the Appellant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discharged his contractual obligation under the said loan agreement. Consequent upon this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in the repayment of the loan, the bank appointed the Second Respondent, Caravan Limited (“the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auctioneer”) to sell by public auction a number of mortgaged houses belonging to defaulters of the bank,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including that of the Appellant. The Appellant’s house was sold to the Third Respondent one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Said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Khamis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Hemed</w:t>
      </w:r>
      <w:proofErr w:type="spellEnd"/>
      <w:r>
        <w:rPr>
          <w:rFonts w:ascii="Times New Roman" w:hAnsi="Times New Roman" w:cs="Times New Roman"/>
          <w:color w:val="000000"/>
        </w:rPr>
        <w:t xml:space="preserve"> El-</w:t>
      </w:r>
      <w:proofErr w:type="spellStart"/>
      <w:r>
        <w:rPr>
          <w:rFonts w:ascii="Times New Roman" w:hAnsi="Times New Roman" w:cs="Times New Roman"/>
          <w:color w:val="000000"/>
        </w:rPr>
        <w:t>Gheity</w:t>
      </w:r>
      <w:proofErr w:type="spellEnd"/>
      <w:r>
        <w:rPr>
          <w:rFonts w:ascii="Times New Roman" w:hAnsi="Times New Roman" w:cs="Times New Roman"/>
          <w:color w:val="000000"/>
        </w:rPr>
        <w:t xml:space="preserve"> (“the purchaser”) for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 pursuant to powers conferred upon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by the loan agreement and powers of sale under the mortgage deed registered on 31 May 1994 as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33 of 1994 in Volume 1 Book A-1. The mortgagor, of course, was the Appellant. The Appellant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instituted civil case number 52 of 1998 against the bank, the auctioneer and the purchaser in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Regional Magistrate’s Court. </w:t>
      </w:r>
      <w:proofErr w:type="spellStart"/>
      <w:r>
        <w:rPr>
          <w:rFonts w:ascii="Times New Roman" w:hAnsi="Times New Roman" w:cs="Times New Roman"/>
          <w:color w:val="000000"/>
        </w:rPr>
        <w:t>Mwampashi</w:t>
      </w:r>
      <w:proofErr w:type="spellEnd"/>
      <w:r>
        <w:rPr>
          <w:rFonts w:ascii="Times New Roman" w:hAnsi="Times New Roman" w:cs="Times New Roman"/>
          <w:color w:val="000000"/>
        </w:rPr>
        <w:t xml:space="preserve"> RM dismissed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 The Appellant was dissatisfied with this decision and preferred an appeal to the High Court where it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dismissed, hence the appeal to this Court.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amended memorandum of appeal filed on 21 October 2002 contained in all eight grounds of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appeal, but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 learned advocate, abandoned the fourth ground of appeal, thus leaving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seven grounds, namely that:</w:t>
      </w:r>
    </w:p>
    <w:p w:rsidR="00544484" w:rsidRDefault="00544484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>“1. The Learned Judge erred in law and facts and ought to have held the Magistrate wrong in law and facts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>for not holding that the Mortgage in question was a simple mortgage as defined in section 58(3)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>Transfer of Property Decree, (Chapter 150).</w:t>
      </w:r>
    </w:p>
    <w:p w:rsidR="00544484" w:rsidRDefault="00544484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facts and ought to have held the Magistrate wrong in law and facts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>for not holding that the Court intervention was required compulsorily by the First Respondent in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>professed sale of the suit premises by public auction.</w:t>
      </w:r>
    </w:p>
    <w:p w:rsidR="00544484" w:rsidRDefault="00544484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facts and ought to have held the Magistrate wrong in law and facts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>for not holding that a valid notice in law had not been served on the Appellant prior to the professed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608E">
        <w:rPr>
          <w:rFonts w:ascii="Times New Roman" w:hAnsi="Times New Roman" w:cs="Times New Roman"/>
          <w:color w:val="000000"/>
          <w:sz w:val="20"/>
          <w:szCs w:val="20"/>
        </w:rPr>
        <w:t>sale of the suit premises by public auction.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44484" w:rsidRDefault="00CB608E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abandoned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44484" w:rsidRDefault="00CB608E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facts and ought to have held the Magistrate wrong in law and facts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not holding that the First Respondent had fundamentally breached the terms of the Mortgage Deed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 supplemented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Mkatabe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Mkopo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charging compound interest rather than simple as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permitted by the said Deed. Further he ought to have held that the ambiguity between the two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documents should be held against the First Respondent.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Appellant will also plead that both the Learned Judge and the Magistrate erred in law and facts for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holding that the sale of the suit premises was not sold by public auction but by private treaty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contrary to section 18 of the Auctioneer’s Decree, (Chapter 165).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44484" w:rsidRDefault="00CB608E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facts and ought to have held the Magistrate wrong in law and facts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not holding that the sale of the suit premises was void as the conditions advertised for the sale of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suit premises by the professed public auction had not been complied with.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B608E" w:rsidRDefault="00CB608E" w:rsidP="005444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8. 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facts and ought to have held the Magistrate wrong in law and facts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not holding that the First and Second Respondents had breached their statutory duty of care owned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Appellant to obtain fairer price possible of the suit premises”.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already indicated at the hearing of the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A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 learned advocate represented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Appellant;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Abdulhakim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State Attorney represented the bank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Ussi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Khamis</w:t>
      </w:r>
      <w:proofErr w:type="spellEnd"/>
      <w:r w:rsidR="0054448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Haji</w:t>
      </w:r>
      <w:r>
        <w:rPr>
          <w:rFonts w:ascii="Times New Roman" w:hAnsi="Times New Roman" w:cs="Times New Roman"/>
          <w:color w:val="000000"/>
        </w:rPr>
        <w:t>, learned advocate represented the purchaser. The auctioneer did not enter appearance though duly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with notice of hearing on 6 October 2003.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sake of convenience and clarity we shall deal with the first three grounds of appeal together as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are closely related. We shall also combine the sixth and seventh. The fifth and eighth grounds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considered separately.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’s first complaint in the appeal is to the effect that the mortgage deed executed by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the bank was a simple mortgage as defined by section 58(3) of the Transfer of Property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Decree, Chapter 150 of the Laws of Zanzibar. He forcefully submitted that possession of the property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never given to the bank. In his own words “possession was the bedrock of a simple mortgage”.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5444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  <w:r>
        <w:rPr>
          <w:rFonts w:ascii="Times New Roman" w:hAnsi="Times New Roman" w:cs="Times New Roman"/>
          <w:color w:val="000000"/>
        </w:rPr>
        <w:t>, however, was of a different view. He argued that the mortgage deed read together with the loan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was an anomalous mortgage which would</w:t>
      </w:r>
      <w:r w:rsidR="00544484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bring into play section 87 of Chapter 150. As regards the second and third grounds of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Patel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section 69(1) and (3) of the Transfer of Property Decree (Chapter 150) was not complied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since the intervention of the court was necessary and the requisite three months’ notice before sale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given and that the sale was not by public auction.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  <w:r>
        <w:rPr>
          <w:rFonts w:ascii="Times New Roman" w:hAnsi="Times New Roman" w:cs="Times New Roman"/>
          <w:color w:val="000000"/>
        </w:rPr>
        <w:t>, however, submitted that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deed read together with the loan agreement was an anomalous mortgage under section 87 of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150. Under the circumstances there was no need for the intervention of the court before sale. On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notice, the Learned State Attorney was of the opinion that clauses 10 and 11 of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deed were complied with. The Appellant was given enough notice before the sale and the house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sold some seven months after service of notice.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Ussi</w:t>
      </w:r>
      <w:proofErr w:type="spellEnd"/>
      <w:r>
        <w:rPr>
          <w:rFonts w:ascii="Times New Roman" w:hAnsi="Times New Roman" w:cs="Times New Roman"/>
          <w:color w:val="000000"/>
        </w:rPr>
        <w:t xml:space="preserve"> K </w:t>
      </w:r>
      <w:r>
        <w:rPr>
          <w:rFonts w:ascii="Times New Roman" w:hAnsi="Times New Roman" w:cs="Times New Roman"/>
          <w:i/>
          <w:iCs/>
          <w:color w:val="000000"/>
        </w:rPr>
        <w:t>Haji</w:t>
      </w:r>
      <w:r>
        <w:rPr>
          <w:rFonts w:ascii="Times New Roman" w:hAnsi="Times New Roman" w:cs="Times New Roman"/>
          <w:color w:val="000000"/>
        </w:rPr>
        <w:t>, learned advocate for the purchaser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nothing to add save to concur with the submissions of the Learned State Attorney.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convenient starting point is section 58(3) of Chapter 150. It provides as follows: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“58 (3) Where, without delivering possession of the mortgaged property, the mortgagor binds himself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personally to pay the mortgage-money, and agrees expressly or impliedly that, in the event of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failing to pay according to his contract, the mortgagee shall have a right to cause the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mortgaged property to be sold and the proceeds of sale to be applied, so far as may be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necessary, in the payment of the mortgage-money, the transaction is called a simple mortgage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mortgagee a simple mortgagee”.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we ask ourselves is, was the mortgage deed executed on 24 May 1994 a simple mortgage in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terms of section 58(3) above? With the greatest respect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Patel</w:t>
      </w:r>
      <w:r>
        <w:rPr>
          <w:rFonts w:ascii="Times New Roman" w:hAnsi="Times New Roman" w:cs="Times New Roman"/>
          <w:color w:val="000000"/>
        </w:rPr>
        <w:t>, learned advocate, we do not think so.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essence of section 58(3) is the personal obligation of the mortgagor to pay the mortgage-money and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power, express or implied to cause the mortgaged property to be sold through the intervention of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In other words, the power of sale cannot be exercised without the intervention of the court. (See: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Transfer of Property Act </w:t>
      </w:r>
      <w:r>
        <w:rPr>
          <w:rFonts w:ascii="Times New Roman" w:hAnsi="Times New Roman" w:cs="Times New Roman"/>
          <w:color w:val="000000"/>
        </w:rPr>
        <w:t xml:space="preserve">1882 (5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(1966) at page 383.) What was the position under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deed? This takes us to clause 11(a) of the mortgage deed which reads as under: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“11 (a) At any time after the principal money and interest hereby secured have become payable either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a result of a lawful demand by the Bank (or under the provisions of clause 10 hereof) the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 shall thereupon immediately be entitled without any previous notice to or concurrence on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part of the Mortgagor to exercise all statutory powers conferred on Mortgagees by the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Transfer of Property Decree, (Chapter 150) including the power to appoint a Receiver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</w:t>
      </w:r>
      <w:r w:rsidR="0054448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power of sale but without the restrictions imposed by the provisions of the said Decree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the right sale shall not affect the right of the bank to foreclosure and provided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further that any Receiver appointed thereunder shall after the statutory application of all monies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received by him apply the balance in or towards the discharge of the principal moneys hereby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secured before paying any residue to the person who but for the possession of the Receiver the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income of the mortgaged property” (emphasis supplied).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clause 11(a) above, there is a stipulation that the bank is empowered to exercise all the statutory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conferred on mortgagees by Chapter 150 including the power of sale but without the restrictions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imposed by the said Decree. This means the restrictions on the power of sale under section 69 referred to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are inapplicable to the case at hand. What are these restrictions? Section 69 provides in part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“69 (1) A power conferred by the mortgage-deed on the mortgagee, or on any person on his behalf, to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sell or concur in selling, in default of payment of the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mortgage money, the mortgaged property, or any part thereof without intervention of court, is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valid in the following cases and in no others, namely: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where the mortgage is an English mortgage;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...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. ..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( 3)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powers conferred by subsection (1) shall not be exercised unless and until: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notice in writing required payment of the principal money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has been served on the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mortgagor, or on one of several mortgagors, and default has been made in payment of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principal money, or part thereof, for three months after such service; or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Some interest under the mortgage amounting at least to seven hundred and fifty shillings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in arrears and unpaid for three months after becoming due”.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power of sale under section 69(1) above is a power of sale without the intervention of the court and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restricted to the two cases mentioned therein. The argument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is that since, in his view,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deed under discussion is a simple mortgage, it is not covered by section 69(1) and therefore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in section 69(3) are applicable. We think the answer to this is sufficiently clear in clause 11(a)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mortgage deed. The bank is entitled to exercise all the statutory powers conferred on mortgagees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Transfer of Property Decree (Chapter 150) including the power of sale but without the restrictions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imposed by the provisions of said Decree. This means that the bank could exercise the power of sale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the intervention of the court, but under what circumstances? Again under clause 11(a) the bank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Appellant had agreed that all the statutory powers conferred on mortgagees by the Transfer of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Decree (Chapter 150) shall become exercisable without any previous notice only when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money an interest hereby have become payable. Clause 10 provides the circumstances under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principal moneys and interest secured become payable as under: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“10. The principal moneys and interest hereby secured shall become immediately due and payable: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a) I f a demand is made by the Bank for the repayment of the principal moneys and interest hereby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secured under the provisions hereof and if the Mortgagor shall make default in repaying such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sums in full within two days of such demand being made; or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b) I f the Mortgagor shall make default in the performance or observance of any of the covenants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obligation herein contained or implied (other than for payment of money); or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c) I f distress or execution either by virtue of any court order decree or process or by appointment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a receiver is levied upon any part of the mortgaged property or against any of the chattels or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property of the Mortgagor situate on or about or belonging to the Mortgaged property and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debt for which levy is made or appointed is not paid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within seven days; or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d) I f a receiving order is made or any effective bankruptcy petition is filed against any of the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Mortgagors; or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 e) I f the title of any part of the mortgaged property shall for any reason be terminated”.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the amended plaint had averred that the bank on 24 May 1994 advanced to him a loan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 upon the terms and conditions contained in the mortgage deed and the loan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agreement. The bank, on its part, in the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amended plaint averred that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 the mortgaged property since the Appellant had defaulted in the repayment of the loan. Thus, from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parties’ pleadings, the bank only alleged that the Appellant had defaulted to repay the loan advanced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him which is a breach of clause 10(a) of the mortgage deed.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then that arises for consideration and determination is whether or not the bank made a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lawful demand upon the Appellant in terms of clause 10(a). DW3, one Michael </w:t>
      </w:r>
      <w:proofErr w:type="spellStart"/>
      <w:r>
        <w:rPr>
          <w:rFonts w:ascii="Times New Roman" w:hAnsi="Times New Roman" w:cs="Times New Roman"/>
          <w:color w:val="000000"/>
        </w:rPr>
        <w:t>Mangondi</w:t>
      </w:r>
      <w:proofErr w:type="spellEnd"/>
      <w:r>
        <w:rPr>
          <w:rFonts w:ascii="Times New Roman" w:hAnsi="Times New Roman" w:cs="Times New Roman"/>
          <w:color w:val="000000"/>
        </w:rPr>
        <w:t>, general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manager of the auctioneers (Second Respondent) testified that on instructions from the bank,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on 28 August 1997 was served with notice to the effect that his mortgaged house would be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 within seven days if he failed to repay the loan advanced to him. Indeed, the Appellant’s name is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in Exhibit D2, which was admitted in evidence without objection from the learned advocates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parties. DW3 added that the Appellant paid a number of visits to the auctioneers seeking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postponement of sale. It was not until 25 February 1998 that names of defaulters, including the Appellant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announced over Radio Zanzibar that his house was scheduled to be sold by public action on the 14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1998. It was however sold on 19 March 1998. We are of the settled view that the bank made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lawful demand upon the Appellant on 28 August 1997 and that the Appellant had defaulted in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repayment of the outstanding loan thus resulting in the sale by public auction of the mortgaged house.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evidence including that of PW3 that not less than 20 people were present at the auction on 19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1998 when he went there.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evidence and circumstances of the case, we reject the unsubstantiated allegation that the house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sold to the purchaser (Third Respondent) by private treaty. To conclude, the first three grounds of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must fail. The mortgage deed executed by the Appellant and the bank was not a simple mortgage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terms of section 58(3) of Chapter 150; there was no need under the mortgage deed for the bank as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mortgagee to cause the mortgaged property to be sold through the intervention of the court since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section 69 of Chapter 150 were not applicable to the matter at hand and lastly, a valid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under the mortgage deed had been served upon the Appellant before the sale of the mortgaged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house. In view of this, we do not think it is necessary to consider and determine whether or not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 deed was an anomalous mortgage which would then attract section 87 of Chapter 150 to come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play.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fifth complaint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 xml:space="preserve">related to the charging of compound interest </w:t>
      </w:r>
      <w:r>
        <w:rPr>
          <w:rFonts w:ascii="Times New Roman" w:hAnsi="Times New Roman" w:cs="Times New Roman"/>
          <w:color w:val="000000"/>
        </w:rPr>
        <w:lastRenderedPageBreak/>
        <w:t>instead of simple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on the loan. During the trial, the question of whether it was compound or simple interest that was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chargeable under the mortgage deed was not one of the seven issues that were framed by the court. It was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not an issue that was canvassed by the parties during the trial. Order XVI, rule 1(5) of the Civil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Decree (Chapter 8) provides: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“(5) At the first hearing of the suit the Court shall, after reading the plaint and the written statements, if any,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after such examination of the parties as may appear necessary, ascertain upon what material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propositions of that or of law the parties are at variance, and may thereupon proceed to frame and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record the issues on which the right decision of the case appears to depend”.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Needless to say, the parties and the court are bound by the pleadings and issues framed and proceed to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deliberate on such issues. This issue was not before the trial court and hence it was not dealt with.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appellate Judge therefore erred in deliberating and deciding upon an issue which was not pleaded in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place.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We now turn to the sixth and seventh grounds of appeal. Essentially, the combined complaint was to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effect that the mortgaged house was sold privately and as a result the best possible price was not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obtained. There was a faint attempt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Patel </w:t>
      </w:r>
      <w:r>
        <w:rPr>
          <w:rFonts w:ascii="Times New Roman" w:hAnsi="Times New Roman" w:cs="Times New Roman"/>
          <w:color w:val="000000"/>
        </w:rPr>
        <w:t>to raise the issue that the sale of the house was done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secretly and by collusion of the three Respondents. At the trial before </w:t>
      </w:r>
      <w:proofErr w:type="spellStart"/>
      <w:r>
        <w:rPr>
          <w:rFonts w:ascii="Times New Roman" w:hAnsi="Times New Roman" w:cs="Times New Roman"/>
          <w:color w:val="000000"/>
        </w:rPr>
        <w:t>Mwampashi</w:t>
      </w:r>
      <w:proofErr w:type="spellEnd"/>
      <w:r>
        <w:rPr>
          <w:rFonts w:ascii="Times New Roman" w:hAnsi="Times New Roman" w:cs="Times New Roman"/>
          <w:color w:val="000000"/>
        </w:rPr>
        <w:t xml:space="preserve"> RM the issue was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framed as follows: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“5.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was a conspiracy between the Third, Second and First Defendant to sell the house at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2 500 000”.</w:t>
      </w:r>
      <w:r w:rsidR="005444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Magistrate held that there was no evidence adduced at the trial to establish the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conspiracy theory, a finding which was upheld by the Learned Appellate Judge. On our part,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carefully perused the evidence on the record and have found no scintilla of evidence even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remotely linking the three Respondents to have colluded, hopefully enable the Third Respondent to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the mortgaged house. On the contrary, the procedure was very transparent. A valid notice under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mortgage deed was duly served upon the Appellant; there was even an announcement of the sale over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Radio Zanzibar and there was a public auction conducted which was attended by a number of would-be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purchasers. Surely, these factors did not indicate that the sale was conducted secretly and in collusion by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three Respondents. We find no merit in this complaint.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the complaint as regards the purchase price of the house being on the low side, is equally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baseless. This was a sale at a public auction and as explained above, there is no thread of evidence of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foul play. The purchase price that the Third Respondent paid was the market price at the auction.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and for the foregoing reasons, we dismiss the appeal with costs.</w:t>
      </w:r>
      <w:r w:rsidR="0054448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 Patel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Respondent: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Ameir</w:t>
      </w:r>
      <w:proofErr w:type="spellEnd"/>
      <w:r>
        <w:rPr>
          <w:rFonts w:ascii="Times New Roman" w:hAnsi="Times New Roman" w:cs="Times New Roman"/>
          <w:color w:val="000000"/>
        </w:rPr>
        <w:t>, State Attorney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Respondent: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CB608E" w:rsidRDefault="00CB608E" w:rsidP="00CB6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Third Respondent:</w:t>
      </w:r>
    </w:p>
    <w:p w:rsidR="0021070D" w:rsidRDefault="00CB608E" w:rsidP="00CB608E">
      <w:r>
        <w:rPr>
          <w:rFonts w:ascii="Times New Roman" w:hAnsi="Times New Roman" w:cs="Times New Roman"/>
          <w:i/>
          <w:iCs/>
          <w:color w:val="000000"/>
        </w:rPr>
        <w:t>UK Haji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8E"/>
    <w:rsid w:val="0021070D"/>
    <w:rsid w:val="00544484"/>
    <w:rsid w:val="00CB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81000-5652-402B-868B-CE8361D5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2018-07-04T13:50:00Z</dcterms:created>
  <dcterms:modified xsi:type="dcterms:W3CDTF">2018-07-12T18:16:00Z</dcterms:modified>
</cp:coreProperties>
</file>