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969" w:rsidRDefault="00046969" w:rsidP="00046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Kabebe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Makau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046969" w:rsidRDefault="00046969" w:rsidP="00046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046969" w:rsidRDefault="00046969" w:rsidP="00046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22 April 2004</w:t>
      </w:r>
    </w:p>
    <w:p w:rsidR="00046969" w:rsidRDefault="00046969" w:rsidP="00046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1222/99</w:t>
      </w:r>
    </w:p>
    <w:p w:rsidR="00046969" w:rsidRDefault="00046969" w:rsidP="00046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AJ</w:t>
      </w:r>
    </w:p>
    <w:p w:rsidR="00046969" w:rsidRDefault="00046969" w:rsidP="00046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46969" w:rsidRDefault="00046969" w:rsidP="00046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046969" w:rsidRDefault="00046969" w:rsidP="00046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Affidavit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Jurat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Jurat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not stating where affidavit sworn – Whether omission fatal – Section 5 –</w:t>
      </w:r>
    </w:p>
    <w:p w:rsidR="00046969" w:rsidRDefault="00046969" w:rsidP="00046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Oaths and Statutory Declarations Act (Chapter 15) – Rule 10 – Oaths and Statutory Declarations Rules.</w:t>
      </w:r>
    </w:p>
    <w:p w:rsidR="00046969" w:rsidRDefault="00046969" w:rsidP="00046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Amendment – Leave to amend –Plaint amended without leave – Whether entire suit liable to be</w:t>
      </w:r>
    </w:p>
    <w:p w:rsidR="00046969" w:rsidRDefault="00046969" w:rsidP="00046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struck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out.</w:t>
      </w:r>
    </w:p>
    <w:p w:rsidR="00046969" w:rsidRDefault="00046969" w:rsidP="00046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46969" w:rsidRDefault="00046969" w:rsidP="00046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Before the commencement of the trial of the suits the first and third defendants raised preliminary</w:t>
      </w:r>
      <w:r w:rsidR="004376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objections to the suits on grounds,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one of the suits was based on a plaint that was amended</w:t>
      </w:r>
      <w:r w:rsidR="004376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leave of the Court and that the affidavit in support of the plaintiff’s originating summons was</w:t>
      </w:r>
      <w:r w:rsidR="004376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incurably defective because the </w:t>
      </w:r>
      <w:proofErr w:type="spellStart"/>
      <w:r>
        <w:rPr>
          <w:rFonts w:ascii="Times New Roman" w:hAnsi="Times New Roman" w:cs="Times New Roman"/>
          <w:color w:val="000000"/>
        </w:rPr>
        <w:t>jurat</w:t>
      </w:r>
      <w:proofErr w:type="spellEnd"/>
      <w:r>
        <w:rPr>
          <w:rFonts w:ascii="Times New Roman" w:hAnsi="Times New Roman" w:cs="Times New Roman"/>
          <w:color w:val="000000"/>
        </w:rPr>
        <w:t xml:space="preserve"> did not state where the affidavit was sworn. They asked the Court to</w:t>
      </w:r>
      <w:r w:rsidR="004376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strike out the two suits.</w:t>
      </w:r>
    </w:p>
    <w:p w:rsidR="00046969" w:rsidRDefault="00046969" w:rsidP="00046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Although the plaintiff amended his plaint in the first suit without leave of the Court the main suit</w:t>
      </w:r>
      <w:r w:rsidR="004376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remain alive and only the amendments would be struck out. Section 5 of the Oaths and Statutory</w:t>
      </w:r>
    </w:p>
    <w:p w:rsidR="00046969" w:rsidRDefault="00046969" w:rsidP="00046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Declarations Act and rule 10 of the Oaths and Statutory Declarations Rules requires that the place where</w:t>
      </w:r>
      <w:r w:rsidR="004376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 affidavit is sworn be indicated in the </w:t>
      </w:r>
      <w:proofErr w:type="spellStart"/>
      <w:r>
        <w:rPr>
          <w:rFonts w:ascii="Times New Roman" w:hAnsi="Times New Roman" w:cs="Times New Roman"/>
          <w:color w:val="000000"/>
        </w:rPr>
        <w:t>jurat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4376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embossment of a commissioner for oath’s rubber stamp showing “Nairobi” is not in compliance</w:t>
      </w:r>
      <w:r w:rsidR="004376C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rule 10 because that only shows the commissioner’s postal address.</w:t>
      </w:r>
    </w:p>
    <w:p w:rsidR="00046969" w:rsidRDefault="00046969" w:rsidP="00046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omission in the </w:t>
      </w:r>
      <w:proofErr w:type="spellStart"/>
      <w:r>
        <w:rPr>
          <w:rFonts w:ascii="Times New Roman" w:hAnsi="Times New Roman" w:cs="Times New Roman"/>
          <w:color w:val="000000"/>
        </w:rPr>
        <w:t>jurat</w:t>
      </w:r>
      <w:proofErr w:type="spellEnd"/>
      <w:r>
        <w:rPr>
          <w:rFonts w:ascii="Times New Roman" w:hAnsi="Times New Roman" w:cs="Times New Roman"/>
          <w:color w:val="000000"/>
        </w:rPr>
        <w:t xml:space="preserve"> to state where the affidavit was sworn is not fatal and the Court has a</w:t>
      </w:r>
      <w:r w:rsidR="00FA0C6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discretion to allow an affidavit notwithstanding the omission. The Court may in some instances direct</w:t>
      </w:r>
      <w:r w:rsidR="00FA0C6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affidavit be re-sworn</w:t>
      </w:r>
      <w:r>
        <w:rPr>
          <w:rFonts w:ascii="Times New Roman" w:hAnsi="Times New Roman" w:cs="Times New Roman"/>
          <w:i/>
          <w:iCs/>
          <w:color w:val="000000"/>
        </w:rPr>
        <w:t xml:space="preserve">. DB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Shapriya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Company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Bish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International BV </w:t>
      </w:r>
      <w:r>
        <w:rPr>
          <w:rFonts w:ascii="Times New Roman" w:hAnsi="Times New Roman" w:cs="Times New Roman"/>
          <w:color w:val="000000"/>
        </w:rPr>
        <w:t>[2002] 1 EA 47</w:t>
      </w:r>
      <w:r w:rsidR="00FA0C6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considered, </w:t>
      </w:r>
      <w:r>
        <w:rPr>
          <w:rFonts w:ascii="Times New Roman" w:hAnsi="Times New Roman" w:cs="Times New Roman"/>
          <w:i/>
          <w:iCs/>
          <w:color w:val="000000"/>
        </w:rPr>
        <w:t xml:space="preserve">Amira (K) Ltd v National Irrigation Board </w:t>
      </w:r>
      <w:r>
        <w:rPr>
          <w:rFonts w:ascii="Times New Roman" w:hAnsi="Times New Roman" w:cs="Times New Roman"/>
          <w:color w:val="000000"/>
        </w:rPr>
        <w:t xml:space="preserve">[2001] 2 EA 333 approved,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Odongo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National</w:t>
      </w:r>
      <w:r w:rsidR="00FA0C6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Social Security </w:t>
      </w:r>
      <w:r>
        <w:rPr>
          <w:rFonts w:ascii="Times New Roman" w:hAnsi="Times New Roman" w:cs="Times New Roman"/>
          <w:color w:val="000000"/>
        </w:rPr>
        <w:t>[1999] LLR 1024 (CCK).</w:t>
      </w:r>
      <w:r w:rsidR="00FA0C6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preliminary objections were dismissed.</w:t>
      </w:r>
    </w:p>
    <w:p w:rsidR="00046969" w:rsidRDefault="00046969" w:rsidP="00046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046969" w:rsidRDefault="00046969" w:rsidP="00046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046969" w:rsidRDefault="00046969" w:rsidP="00046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046969" w:rsidRDefault="00046969" w:rsidP="00046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046969" w:rsidRDefault="00046969" w:rsidP="00046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046969" w:rsidRDefault="00046969" w:rsidP="00046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Amira (K) Ltd v National Irrigation Board </w:t>
      </w:r>
      <w:r>
        <w:rPr>
          <w:rFonts w:ascii="Times New Roman" w:hAnsi="Times New Roman" w:cs="Times New Roman"/>
          <w:color w:val="000000"/>
        </w:rPr>
        <w:t xml:space="preserve">[2001] 2 EA 333 – </w:t>
      </w:r>
      <w:r>
        <w:rPr>
          <w:rFonts w:ascii="Times New Roman" w:hAnsi="Times New Roman" w:cs="Times New Roman"/>
          <w:b/>
          <w:bCs/>
          <w:color w:val="000000"/>
        </w:rPr>
        <w:t>APP</w:t>
      </w:r>
    </w:p>
    <w:p w:rsidR="00046969" w:rsidRDefault="00046969" w:rsidP="00046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DB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Shapriya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Bish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International BV </w:t>
      </w:r>
      <w:r>
        <w:rPr>
          <w:rFonts w:ascii="Times New Roman" w:hAnsi="Times New Roman" w:cs="Times New Roman"/>
          <w:color w:val="000000"/>
        </w:rPr>
        <w:t xml:space="preserve">[2002] 1 EA 47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046969" w:rsidRDefault="00046969" w:rsidP="00046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Narok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Transit Hotel Limited and another v Barclays Bank of Kenya Ltd </w:t>
      </w:r>
      <w:r>
        <w:rPr>
          <w:rFonts w:ascii="Times New Roman" w:hAnsi="Times New Roman" w:cs="Times New Roman"/>
          <w:color w:val="000000"/>
        </w:rPr>
        <w:t xml:space="preserve">[2001] LLR 852 (CCK)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046969" w:rsidRDefault="00046969" w:rsidP="000469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Odongo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National Social Security </w:t>
      </w:r>
      <w:r>
        <w:rPr>
          <w:rFonts w:ascii="Times New Roman" w:hAnsi="Times New Roman" w:cs="Times New Roman"/>
          <w:color w:val="000000"/>
        </w:rPr>
        <w:t xml:space="preserve">[1999] LLR 1024 (CCK)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E97396" w:rsidRDefault="00046969" w:rsidP="00046969">
      <w:r>
        <w:rPr>
          <w:rFonts w:ascii="Times New Roman" w:hAnsi="Times New Roman" w:cs="Times New Roman"/>
          <w:b/>
          <w:bCs/>
          <w:color w:val="000000"/>
        </w:rPr>
        <w:t>Ruling</w:t>
      </w:r>
      <w:bookmarkStart w:id="0" w:name="_GoBack"/>
      <w:bookmarkEnd w:id="0"/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69"/>
    <w:rsid w:val="00046969"/>
    <w:rsid w:val="004376C1"/>
    <w:rsid w:val="00E97396"/>
    <w:rsid w:val="00FA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FDD4D-02FA-4C19-8952-FF773F72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2018-07-03T13:53:00Z</dcterms:created>
  <dcterms:modified xsi:type="dcterms:W3CDTF">2018-07-12T18:17:00Z</dcterms:modified>
</cp:coreProperties>
</file>