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Kafuma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Kimbowa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Builders and Contractors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October 1973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1366/1972 (35/74)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Judgment – Consent – Entered by advocate not on record and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without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authority – Judgment set aside.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Advocate – Authority – To consent to judgment – Not on record or authorised – No authority.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Insurance – Motor insurance – Court action – Circumstances under which insurance company may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take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over action – Traffic and Road Safety Act </w:t>
      </w:r>
      <w:r>
        <w:rPr>
          <w:rFonts w:ascii="Times New Roman" w:hAnsi="Times New Roman" w:cs="Times New Roman"/>
          <w:color w:val="000000"/>
        </w:rPr>
        <w:t xml:space="preserve">1970, </w:t>
      </w:r>
      <w:r>
        <w:rPr>
          <w:rFonts w:ascii="Times New Roman" w:hAnsi="Times New Roman" w:cs="Times New Roman"/>
          <w:i/>
          <w:iCs/>
          <w:color w:val="000000"/>
        </w:rPr>
        <w:t xml:space="preserve">ss. </w:t>
      </w:r>
      <w:r>
        <w:rPr>
          <w:rFonts w:ascii="Times New Roman" w:hAnsi="Times New Roman" w:cs="Times New Roman"/>
          <w:color w:val="000000"/>
        </w:rPr>
        <w:t>34, 35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367BF" w:rsidRDefault="005A2528" w:rsidP="003367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filed action against the defendant for damages suffered by reason of the death of her</w:t>
      </w:r>
      <w:r w:rsidR="003367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husband in a motor accident. An advocate purporting to act on behalf of the National Insurance</w:t>
      </w:r>
      <w:r w:rsidR="003367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 and who was not the advocate on record for the defendant entered a consent judgment.</w:t>
      </w:r>
      <w:r w:rsidR="003367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defendant’s application to set aside the consent judgment it was proved that the Corporation</w:t>
      </w:r>
      <w:r w:rsidR="003367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received no notification of the filing of the action.</w:t>
      </w:r>
      <w:r w:rsidR="003367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plaintiff it was contended that the Traffic and Road Safety Act 1970 gave power for a consent</w:t>
      </w:r>
      <w:r w:rsidR="003367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to be recorded in such circumstances.</w:t>
      </w:r>
      <w:r w:rsidR="003367BF">
        <w:rPr>
          <w:rFonts w:ascii="Times New Roman" w:hAnsi="Times New Roman" w:cs="Times New Roman"/>
          <w:color w:val="000000"/>
        </w:rPr>
        <w:t xml:space="preserve"> </w:t>
      </w:r>
    </w:p>
    <w:p w:rsidR="003367BF" w:rsidRDefault="003367BF" w:rsidP="003367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A2528" w:rsidRDefault="005A2528" w:rsidP="003367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advocate who entered the judgment had no authority to do so from the defendant;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Corporation could not have taken over the conduct of the case without the consent of the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defendant</w:t>
      </w:r>
      <w:proofErr w:type="gramEnd"/>
      <w:r>
        <w:rPr>
          <w:rFonts w:ascii="Times New Roman" w:hAnsi="Times New Roman" w:cs="Times New Roman"/>
          <w:color w:val="000000"/>
        </w:rPr>
        <w:t>;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advocate had no authority from the Corporation;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consent judgment was accordingly a nullity and would be set aside.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set aside.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Strauss v. Francis </w:t>
      </w:r>
      <w:r>
        <w:rPr>
          <w:rFonts w:ascii="Times New Roman" w:hAnsi="Times New Roman" w:cs="Times New Roman"/>
          <w:color w:val="000000"/>
        </w:rPr>
        <w:t>(1886), L.R. 1 Q.B. 379.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Holt v. Jesse </w:t>
      </w:r>
      <w:r>
        <w:rPr>
          <w:rFonts w:ascii="Times New Roman" w:hAnsi="Times New Roman" w:cs="Times New Roman"/>
          <w:color w:val="000000"/>
        </w:rPr>
        <w:t>(1876), 3 Ch. D. 177.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 xml:space="preserve">Mathews v. Munster </w:t>
      </w:r>
      <w:r>
        <w:rPr>
          <w:rFonts w:ascii="Times New Roman" w:hAnsi="Times New Roman" w:cs="Times New Roman"/>
          <w:color w:val="000000"/>
        </w:rPr>
        <w:t>(1888), 20 Q.B.D. 141.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>Welsh v. Roe</w:t>
      </w:r>
      <w:r>
        <w:rPr>
          <w:rFonts w:ascii="Times New Roman" w:hAnsi="Times New Roman" w:cs="Times New Roman"/>
          <w:color w:val="000000"/>
        </w:rPr>
        <w:t>, [1918-19] All E.R. Rep. 620; (1918) 87 L.J.K.B. 520.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>Neale v. Gordon-Lennox</w:t>
      </w:r>
      <w:r>
        <w:rPr>
          <w:rFonts w:ascii="Times New Roman" w:hAnsi="Times New Roman" w:cs="Times New Roman"/>
          <w:color w:val="000000"/>
        </w:rPr>
        <w:t>, [1902] A.C. 465; [1900 – 3] All E.R. Rep. 622.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(6) </w:t>
      </w:r>
      <w:r>
        <w:rPr>
          <w:rFonts w:ascii="Times New Roman" w:hAnsi="Times New Roman" w:cs="Times New Roman"/>
          <w:i/>
          <w:iCs/>
          <w:color w:val="000000"/>
        </w:rPr>
        <w:t xml:space="preserve">Craig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Kanssen</w:t>
      </w:r>
      <w:proofErr w:type="spellEnd"/>
      <w:r>
        <w:rPr>
          <w:rFonts w:ascii="Times New Roman" w:hAnsi="Times New Roman" w:cs="Times New Roman"/>
          <w:color w:val="000000"/>
        </w:rPr>
        <w:t>, [1943] 1 K.B. 256; [1943] 1 All E.R. 108.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(7) </w:t>
      </w:r>
      <w:r>
        <w:rPr>
          <w:rFonts w:ascii="Times New Roman" w:hAnsi="Times New Roman" w:cs="Times New Roman"/>
          <w:i/>
          <w:iCs/>
          <w:color w:val="000000"/>
        </w:rPr>
        <w:t xml:space="preserve">Elkan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Narshibhai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Patel</w:t>
      </w:r>
      <w:r>
        <w:rPr>
          <w:rFonts w:ascii="Times New Roman" w:hAnsi="Times New Roman" w:cs="Times New Roman"/>
          <w:color w:val="000000"/>
        </w:rPr>
        <w:t>, MB 37/60 (unreported).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(8)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Pirbhai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Lalji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Hassanali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Devji</w:t>
      </w:r>
      <w:proofErr w:type="spellEnd"/>
      <w:r>
        <w:rPr>
          <w:rFonts w:ascii="Times New Roman" w:hAnsi="Times New Roman" w:cs="Times New Roman"/>
          <w:color w:val="000000"/>
        </w:rPr>
        <w:t>, [1962] E.A. 306.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(9) </w:t>
      </w:r>
      <w:r>
        <w:rPr>
          <w:rFonts w:ascii="Times New Roman" w:hAnsi="Times New Roman" w:cs="Times New Roman"/>
          <w:i/>
          <w:iCs/>
          <w:color w:val="000000"/>
        </w:rPr>
        <w:t>Re Pritchard</w:t>
      </w:r>
      <w:r>
        <w:rPr>
          <w:rFonts w:ascii="Times New Roman" w:hAnsi="Times New Roman" w:cs="Times New Roman"/>
          <w:color w:val="000000"/>
        </w:rPr>
        <w:t>, [1963] 1 All E.R. 873.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(10) </w:t>
      </w:r>
      <w:r>
        <w:rPr>
          <w:rFonts w:ascii="Times New Roman" w:hAnsi="Times New Roman" w:cs="Times New Roman"/>
          <w:i/>
          <w:iCs/>
          <w:color w:val="000000"/>
        </w:rPr>
        <w:t xml:space="preserve">Shah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Westlands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General Stores Properties</w:t>
      </w:r>
      <w:r>
        <w:rPr>
          <w:rFonts w:ascii="Times New Roman" w:hAnsi="Times New Roman" w:cs="Times New Roman"/>
          <w:color w:val="000000"/>
        </w:rPr>
        <w:t>, [1965] E.A. 642.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Ottoman Bank</w:t>
      </w:r>
      <w:r>
        <w:rPr>
          <w:rFonts w:ascii="Times New Roman" w:hAnsi="Times New Roman" w:cs="Times New Roman"/>
          <w:color w:val="000000"/>
        </w:rPr>
        <w:t>, [1968] E.A. 156.</w:t>
      </w:r>
    </w:p>
    <w:p w:rsidR="005A2528" w:rsidRDefault="005A2528" w:rsidP="005A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Najjuka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Namwandu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M.B. 409/71 (unreported).</w:t>
      </w:r>
    </w:p>
    <w:p w:rsidR="006B48C8" w:rsidRDefault="005A2528" w:rsidP="005A2528">
      <w:r>
        <w:rPr>
          <w:rFonts w:ascii="Times New Roman" w:hAnsi="Times New Roman" w:cs="Times New Roman"/>
          <w:color w:val="000000"/>
        </w:rPr>
        <w:t xml:space="preserve">(13) </w:t>
      </w:r>
      <w:r>
        <w:rPr>
          <w:rFonts w:ascii="Times New Roman" w:hAnsi="Times New Roman" w:cs="Times New Roman"/>
          <w:i/>
          <w:iCs/>
          <w:color w:val="000000"/>
        </w:rPr>
        <w:t>Marsden v. Marsden</w:t>
      </w:r>
      <w:r>
        <w:rPr>
          <w:rFonts w:ascii="Times New Roman" w:hAnsi="Times New Roman" w:cs="Times New Roman"/>
          <w:color w:val="000000"/>
        </w:rPr>
        <w:t>, [1972] Fam. 280; [1972] 2 All E.R. 1162.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28"/>
    <w:rsid w:val="003367BF"/>
    <w:rsid w:val="005A2528"/>
    <w:rsid w:val="006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523DC-EAED-4348-A81A-33EED8AE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2018-07-05T13:16:00Z</dcterms:created>
  <dcterms:modified xsi:type="dcterms:W3CDTF">2018-07-12T18:22:00Z</dcterms:modified>
</cp:coreProperties>
</file>