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Kimbowa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Builders and Contractors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October 1973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1366/1972 (35/74)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Judgment – Consent – Entered by advocate not on record and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without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authority – Judgment set aside.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Advocate – Authority – To consent to judgment – Not on record or authorised – No authority.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Insurance – Motor insurance – Court action – Circumstances under which insurance company may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take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over action –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34, 35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B257D" w:rsidRDefault="00BE3072" w:rsidP="00BE30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B257D" w:rsidRDefault="000B257D" w:rsidP="00BE3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Nyamuchoncho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application by the defendant to set aside a consent judgment entered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him in favour of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on 30 April 1973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105,000/- general damages,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10,000/- costs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600/- special damages on the ground that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>, counsel who compromised the action had never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instructed by him to act on his behalf, and that he acted without authority.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which led to the bringing of this application are as follows: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8 July 1972, the plaintiff’s husband </w:t>
      </w:r>
      <w:proofErr w:type="spellStart"/>
      <w:r>
        <w:rPr>
          <w:rFonts w:ascii="Times New Roman" w:hAnsi="Times New Roman" w:cs="Times New Roman"/>
          <w:color w:val="000000"/>
        </w:rPr>
        <w:t>Asumani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Kafuma</w:t>
      </w:r>
      <w:proofErr w:type="spellEnd"/>
      <w:r>
        <w:rPr>
          <w:rFonts w:ascii="Times New Roman" w:hAnsi="Times New Roman" w:cs="Times New Roman"/>
          <w:color w:val="000000"/>
        </w:rPr>
        <w:t xml:space="preserve"> was killed in a road accident when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owned by the defendant in which he was travelling overturned. The plaintiff as one of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widows of the deceased instructed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>, an advocate, to file an action against the applicant for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on behalf of herself and the other </w:t>
      </w:r>
      <w:proofErr w:type="spellStart"/>
      <w:r>
        <w:rPr>
          <w:rFonts w:ascii="Times New Roman" w:hAnsi="Times New Roman" w:cs="Times New Roman"/>
          <w:color w:val="000000"/>
        </w:rPr>
        <w:t>dependants</w:t>
      </w:r>
      <w:proofErr w:type="spellEnd"/>
      <w:r>
        <w:rPr>
          <w:rFonts w:ascii="Times New Roman" w:hAnsi="Times New Roman" w:cs="Times New Roman"/>
          <w:color w:val="000000"/>
        </w:rPr>
        <w:t xml:space="preserve">.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filed a written statement of claim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10 November 1972. On 12 December 1972 the defendant entered appearance by his advocate Mr.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and on 18 December 1972 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On 8 March 1973 by consent of both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parties, the suit was fixed for hearing on 8 June 1973. On 30 April 1973 Mr.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an advocate with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whom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had gone into partnership wrote to the deputy chief registrar asking him to enter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judgment. The letter reads: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Deputy Chief Registrar,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Kampala.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Sir,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Re: High Court Civil Suit No. 1366 of 1972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Nagitta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Kafuma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Builders &amp; Contractors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refer you to the above case and have to state that it is mutually agreed by both parties that judgment be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entered in favour of the plaintiff and the defendant shall pay the plaintiff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105,000/- as general damages,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10,000/- as costs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600/- special damages.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We, therefore, request you to mark the case file as aforesaid and please note that on 8 June 1973, on which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this case is fixed for hearing, we shall only seek the approval of our assessment and also deal with the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apportionment among the minors.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LUKEERA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Lukeera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&amp; Company.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consent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(signed) Counsel for the defendant,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deputy chief registrar promptly entered a consent judgment on 30 April 1973 in the terms set out in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letter. On 18 May 1973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wrote to the General Manager, National Insurance Corporation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advising him to pay. His letter reads: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General Manager,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Insurance Corporation,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Kampala.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Dear Sir,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H.C.C.S. No. 1366/72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Nagitta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Kafuma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Builders &amp; Contractors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Your plaint,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Police Report attached. In this case, your insured M/S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Builders &amp;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Contractors had their motor vehicle overturned as a result of which the plaintiff’s husband was killed. He was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mere passenger. The driver was negotiating a blind bend which he failed to do properly and lost control of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motor vehicle.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filed but it does not raise the issue of inevitable accident or any other matter which would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exonorate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driver from the charge of carelessness. There is a large obligation on your side to pay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in matters like this where you have underwritten third party risks in respect of a motor vehicle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like this which causes mischiefs.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is a straightforward claim for loss of dependency and using the usual formula after making every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possible allowance the figure works out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105,000/- general damages,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10,000/- costs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600/-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special damages.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 would advise payment and should, therefore, be grateful if you would let us have your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125,600/- including of our costs as per attached statement.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Manager simply ignored the letter.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29 May 1973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&amp; Company wrote to the deputy chief registrar a letter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setting out the apportionment of damages to the </w:t>
      </w:r>
      <w:proofErr w:type="spellStart"/>
      <w:r>
        <w:rPr>
          <w:rFonts w:ascii="Times New Roman" w:hAnsi="Times New Roman" w:cs="Times New Roman"/>
          <w:color w:val="000000"/>
        </w:rPr>
        <w:t>dependants</w:t>
      </w:r>
      <w:proofErr w:type="spellEnd"/>
      <w:r>
        <w:rPr>
          <w:rFonts w:ascii="Times New Roman" w:hAnsi="Times New Roman" w:cs="Times New Roman"/>
          <w:color w:val="000000"/>
        </w:rPr>
        <w:t xml:space="preserve"> and asked the registrar to draw the judge’s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attention to the apportionment. On 8 June 1973,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 approved the apportionment.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13 July 1973, the decree was extracted and on that day, an application for execution of decree by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was granted. The attachment order was served on the defendant on the 24 July 1973. It is not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clear what happened thereafter but on 27 July 1973 the defendant </w:t>
      </w:r>
      <w:r>
        <w:rPr>
          <w:rFonts w:ascii="Times New Roman" w:hAnsi="Times New Roman" w:cs="Times New Roman"/>
          <w:color w:val="000000"/>
        </w:rPr>
        <w:lastRenderedPageBreak/>
        <w:t>applied for and was granted an order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stay of execution by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 who also granted him leave to have the application for an order to set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judgment heard during vocation.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came up for hearing on 17 August 1973. At the start of the hearing Mr.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for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raised a preliminary objection to the effect that this being a consent judgment the court had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jurisdiction to entertain the application. I overruled this objection on the ground that until I had heard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arguments of both counsel I could not decide whether or not the counsel who consented to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had authority to consent to such judgment on behalf of the applicant and ordered the hearing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foregoing it will be observed that the plaintiff instructed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to conduct his case,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he did with his partner Mr.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; the defendant instructed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&amp; Company who acted for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till 8 March 1973 the day when the case was fixed for hearing. From that day 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disappeared from the scene.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took over the conduct of the case from 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and settled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on 30 April 1973 with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&amp; Company without </w:t>
      </w:r>
      <w:proofErr w:type="spellStart"/>
      <w:r>
        <w:rPr>
          <w:rFonts w:ascii="Times New Roman" w:hAnsi="Times New Roman" w:cs="Times New Roman"/>
          <w:color w:val="000000"/>
        </w:rPr>
        <w:t>Kawere’s</w:t>
      </w:r>
      <w:proofErr w:type="spellEnd"/>
      <w:r>
        <w:rPr>
          <w:rFonts w:ascii="Times New Roman" w:hAnsi="Times New Roman" w:cs="Times New Roman"/>
          <w:color w:val="000000"/>
        </w:rPr>
        <w:t xml:space="preserve"> knowledge and without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instructions from the defendant. There is nothing on the record to show how he came in but I believe 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so as a lawyer retained by the National Insurance Corporation to deal with cases left over by Mr.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Kazzora</w:t>
      </w:r>
      <w:proofErr w:type="spellEnd"/>
      <w:r>
        <w:rPr>
          <w:rFonts w:ascii="Times New Roman" w:hAnsi="Times New Roman" w:cs="Times New Roman"/>
          <w:color w:val="000000"/>
        </w:rPr>
        <w:t xml:space="preserve">. It is this judgment signed on 30 April 1973 by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&amp; Company for the plaintiff and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&amp; Company which is called a consent judgment.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Bamutulaki</w:t>
      </w:r>
      <w:proofErr w:type="spellEnd"/>
      <w:r>
        <w:rPr>
          <w:rFonts w:ascii="Times New Roman" w:hAnsi="Times New Roman" w:cs="Times New Roman"/>
          <w:color w:val="000000"/>
        </w:rPr>
        <w:t xml:space="preserve"> on behalf of the defendant contended that the advocate who purported to compromise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action on behalf of the applicant acted without authority. He had no instructions or authority express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implied to conduct the case on behalf of the defendant. His action cannot bind the defendant. To prove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had no instructions he referred me to paras. 4, 5, 7 and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8 of the affidavit sworn by Mr. J. </w:t>
      </w:r>
      <w:proofErr w:type="spellStart"/>
      <w:r>
        <w:rPr>
          <w:rFonts w:ascii="Times New Roman" w:hAnsi="Times New Roman" w:cs="Times New Roman"/>
          <w:color w:val="000000"/>
        </w:rPr>
        <w:t>Kimbowa</w:t>
      </w:r>
      <w:proofErr w:type="spellEnd"/>
      <w:r>
        <w:rPr>
          <w:rFonts w:ascii="Times New Roman" w:hAnsi="Times New Roman" w:cs="Times New Roman"/>
          <w:color w:val="000000"/>
        </w:rPr>
        <w:t xml:space="preserve"> and paras. 2, 3, 4, 5, 6, 7, and 8 of the affidavit sworn by Mr.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and to the whole of the affidavit sworn by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.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Mr.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had apparent authority to act for National Insurance Corporation in cases of this nature. 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his authority in accordance with the provisions of s.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Traffic and Road Safety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1970. The defendant could not ignore the provisions of s. 34 (3) of the said Act.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I have to decide is whether the judgment signed on 30 April 1973 is a consent judgment.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a consent judgment? I see in Vol. 22, p. 765, para. 1631, Halsbury’s Laws of England, 3rd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the following exposition: “if either party is willing to consent to a judgment or order against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or if both parties are agreed as to what the judgment or order ought to be, due effect may be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by the court to such consent.” A judgment which meets this definition is a consent judgment and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set aside except with the consent of the parties or by fresh action. The law on this subject has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developed on two different lines of authorities. The first line of authorities is represented by </w:t>
      </w:r>
      <w:r>
        <w:rPr>
          <w:rFonts w:ascii="Times New Roman" w:hAnsi="Times New Roman" w:cs="Times New Roman"/>
          <w:i/>
          <w:iCs/>
          <w:color w:val="000000"/>
        </w:rPr>
        <w:t>Strauss v.</w:t>
      </w:r>
      <w:r w:rsidR="00BE30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r>
        <w:rPr>
          <w:rFonts w:ascii="Times New Roman" w:hAnsi="Times New Roman" w:cs="Times New Roman"/>
          <w:color w:val="000000"/>
        </w:rPr>
        <w:t xml:space="preserve">(1866), L.R. 1 Q.B. 379; </w:t>
      </w:r>
      <w:r>
        <w:rPr>
          <w:rFonts w:ascii="Times New Roman" w:hAnsi="Times New Roman" w:cs="Times New Roman"/>
          <w:i/>
          <w:iCs/>
          <w:color w:val="000000"/>
        </w:rPr>
        <w:t xml:space="preserve">Mathews v. Munster </w:t>
      </w:r>
      <w:r>
        <w:rPr>
          <w:rFonts w:ascii="Times New Roman" w:hAnsi="Times New Roman" w:cs="Times New Roman"/>
          <w:color w:val="000000"/>
        </w:rPr>
        <w:t xml:space="preserve">(1888), 20 Q.B.D. 141; </w:t>
      </w:r>
      <w:r>
        <w:rPr>
          <w:rFonts w:ascii="Times New Roman" w:hAnsi="Times New Roman" w:cs="Times New Roman"/>
          <w:i/>
          <w:iCs/>
          <w:color w:val="000000"/>
        </w:rPr>
        <w:t xml:space="preserve">Welsh v. Roe </w:t>
      </w:r>
      <w:r>
        <w:rPr>
          <w:rFonts w:ascii="Times New Roman" w:hAnsi="Times New Roman" w:cs="Times New Roman"/>
          <w:color w:val="000000"/>
        </w:rPr>
        <w:t>(1918), 87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L.J.K.B. 520; </w:t>
      </w:r>
      <w:r>
        <w:rPr>
          <w:rFonts w:ascii="Times New Roman" w:hAnsi="Times New Roman" w:cs="Times New Roman"/>
          <w:i/>
          <w:iCs/>
          <w:color w:val="000000"/>
        </w:rPr>
        <w:t xml:space="preserve">Shah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Westlands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Stores Properties</w:t>
      </w:r>
      <w:r>
        <w:rPr>
          <w:rFonts w:ascii="Times New Roman" w:hAnsi="Times New Roman" w:cs="Times New Roman"/>
          <w:color w:val="000000"/>
        </w:rPr>
        <w:t xml:space="preserve">, [1965] E.A. 642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Najjuka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Namwandu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BE307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M.B. 409/71. In these cases the question to be decided was whether the act of counsel in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compromising a case was within the scope of his authority. The second line of authorities is represented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r>
        <w:rPr>
          <w:rFonts w:ascii="Times New Roman" w:hAnsi="Times New Roman" w:cs="Times New Roman"/>
          <w:i/>
          <w:iCs/>
          <w:color w:val="000000"/>
        </w:rPr>
        <w:t xml:space="preserve">Holt v. Jesse </w:t>
      </w:r>
      <w:r>
        <w:rPr>
          <w:rFonts w:ascii="Times New Roman" w:hAnsi="Times New Roman" w:cs="Times New Roman"/>
          <w:color w:val="000000"/>
        </w:rPr>
        <w:t xml:space="preserve">(1876), 3 </w:t>
      </w:r>
      <w:proofErr w:type="spellStart"/>
      <w:r>
        <w:rPr>
          <w:rFonts w:ascii="Times New Roman" w:hAnsi="Times New Roman" w:cs="Times New Roman"/>
          <w:color w:val="000000"/>
        </w:rPr>
        <w:t>Ch.D</w:t>
      </w:r>
      <w:proofErr w:type="spellEnd"/>
      <w:r>
        <w:rPr>
          <w:rFonts w:ascii="Times New Roman" w:hAnsi="Times New Roman" w:cs="Times New Roman"/>
          <w:color w:val="000000"/>
        </w:rPr>
        <w:t xml:space="preserve">. 177; </w:t>
      </w:r>
      <w:r>
        <w:rPr>
          <w:rFonts w:ascii="Times New Roman" w:hAnsi="Times New Roman" w:cs="Times New Roman"/>
          <w:i/>
          <w:iCs/>
          <w:color w:val="000000"/>
        </w:rPr>
        <w:t>Neale v. Gordon-Lennox</w:t>
      </w:r>
      <w:r>
        <w:rPr>
          <w:rFonts w:ascii="Times New Roman" w:hAnsi="Times New Roman" w:cs="Times New Roman"/>
          <w:color w:val="000000"/>
        </w:rPr>
        <w:t xml:space="preserve">, [1902] A.C. 465 and </w:t>
      </w:r>
      <w:r>
        <w:rPr>
          <w:rFonts w:ascii="Times New Roman" w:hAnsi="Times New Roman" w:cs="Times New Roman"/>
          <w:i/>
          <w:iCs/>
          <w:color w:val="000000"/>
        </w:rPr>
        <w:t>Marsden v.</w:t>
      </w:r>
      <w:r w:rsidR="00BE30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Marsden</w:t>
      </w:r>
      <w:r>
        <w:rPr>
          <w:rFonts w:ascii="Times New Roman" w:hAnsi="Times New Roman" w:cs="Times New Roman"/>
          <w:color w:val="000000"/>
        </w:rPr>
        <w:t>, [1972] 2 All E.R. 1162. These cases were concerned with the question at what point of time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a consent order be withdrawn.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cases where the courts found that counsel had authority to compromise the action the courts refused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undo the agreement even before it was drawn up. As the law developed the authorities such as </w:t>
      </w:r>
      <w:r>
        <w:rPr>
          <w:rFonts w:ascii="Times New Roman" w:hAnsi="Times New Roman" w:cs="Times New Roman"/>
          <w:i/>
          <w:iCs/>
          <w:color w:val="000000"/>
        </w:rPr>
        <w:t>Holt v.</w:t>
      </w:r>
      <w:r w:rsidR="00BE30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Jesse</w:t>
      </w:r>
      <w:r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Times New Roman" w:hAnsi="Times New Roman" w:cs="Times New Roman"/>
          <w:i/>
          <w:iCs/>
          <w:color w:val="000000"/>
        </w:rPr>
        <w:t>Neale v. Gordon-Lennox</w:t>
      </w:r>
      <w:r>
        <w:rPr>
          <w:rFonts w:ascii="Times New Roman" w:hAnsi="Times New Roman" w:cs="Times New Roman"/>
          <w:color w:val="000000"/>
        </w:rPr>
        <w:t>, decided that before a consent order has been drawn up and perfected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consent given by the </w:t>
      </w:r>
      <w:proofErr w:type="spellStart"/>
      <w:r>
        <w:rPr>
          <w:rFonts w:ascii="Times New Roman" w:hAnsi="Times New Roman" w:cs="Times New Roman"/>
          <w:color w:val="000000"/>
        </w:rPr>
        <w:t>counsel</w:t>
      </w:r>
      <w:proofErr w:type="spellEnd"/>
      <w:r>
        <w:rPr>
          <w:rFonts w:ascii="Times New Roman" w:hAnsi="Times New Roman" w:cs="Times New Roman"/>
          <w:color w:val="000000"/>
        </w:rPr>
        <w:t xml:space="preserve"> may be withdrawn by the client if the </w:t>
      </w:r>
      <w:proofErr w:type="spellStart"/>
      <w:r>
        <w:rPr>
          <w:rFonts w:ascii="Times New Roman" w:hAnsi="Times New Roman" w:cs="Times New Roman"/>
          <w:color w:val="000000"/>
        </w:rPr>
        <w:t>counsel</w:t>
      </w:r>
      <w:proofErr w:type="spellEnd"/>
      <w:r>
        <w:rPr>
          <w:rFonts w:ascii="Times New Roman" w:hAnsi="Times New Roman" w:cs="Times New Roman"/>
          <w:color w:val="000000"/>
        </w:rPr>
        <w:t xml:space="preserve"> gave it under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misapprehension. See also </w:t>
      </w:r>
      <w:r>
        <w:rPr>
          <w:rFonts w:ascii="Times New Roman" w:hAnsi="Times New Roman" w:cs="Times New Roman"/>
          <w:i/>
          <w:iCs/>
          <w:color w:val="000000"/>
        </w:rPr>
        <w:t>Marsden v. Marsden</w:t>
      </w:r>
      <w:r>
        <w:rPr>
          <w:rFonts w:ascii="Times New Roman" w:hAnsi="Times New Roman" w:cs="Times New Roman"/>
          <w:color w:val="000000"/>
        </w:rPr>
        <w:t>. The cases shown above are not helpful in this case. It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observed that in the cases quoted above consent was given by an advocate appointed by and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his client to the suit unlike in this case where an advocate engaged by a corporation not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to the proceedings compromises an action on behalf of the defendant without any brief from him.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has argued that s. 35 of the Traffic and Road Safety Act 1970 confers the necessary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authority on the advocate. This assertion is </w:t>
      </w:r>
      <w:proofErr w:type="spellStart"/>
      <w:r>
        <w:rPr>
          <w:rFonts w:ascii="Times New Roman" w:hAnsi="Times New Roman" w:cs="Times New Roman"/>
          <w:color w:val="000000"/>
        </w:rPr>
        <w:t>negatived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depositions of Mr. </w:t>
      </w:r>
      <w:proofErr w:type="spellStart"/>
      <w:r>
        <w:rPr>
          <w:rFonts w:ascii="Times New Roman" w:hAnsi="Times New Roman" w:cs="Times New Roman"/>
          <w:color w:val="000000"/>
        </w:rPr>
        <w:t>Kimbowa</w:t>
      </w:r>
      <w:proofErr w:type="spellEnd"/>
      <w:r>
        <w:rPr>
          <w:rFonts w:ascii="Times New Roman" w:hAnsi="Times New Roman" w:cs="Times New Roman"/>
          <w:color w:val="000000"/>
        </w:rPr>
        <w:t>, which clearly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company did not give the notice of the accident to the Corporation and the depositions of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Laboke-Oweka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himself. Mr. </w:t>
      </w:r>
      <w:proofErr w:type="spellStart"/>
      <w:r>
        <w:rPr>
          <w:rFonts w:ascii="Times New Roman" w:hAnsi="Times New Roman" w:cs="Times New Roman"/>
          <w:color w:val="000000"/>
        </w:rPr>
        <w:t>Kimbowa</w:t>
      </w:r>
      <w:proofErr w:type="spellEnd"/>
      <w:r>
        <w:rPr>
          <w:rFonts w:ascii="Times New Roman" w:hAnsi="Times New Roman" w:cs="Times New Roman"/>
          <w:color w:val="000000"/>
        </w:rPr>
        <w:t xml:space="preserve"> states: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“4. That when I obtained a letter of demand from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Tibamanya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Company, Advocates, I passed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same to my lawyers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Kawere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Company, Advocates, whom the company retains as its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lawyers.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am advised by the company advocates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Kawere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that they entered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appearance and filed a written 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suit.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far as I can recollect my company has never instructed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to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 the Defendant Company in this suit.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far as I recollect and I believe the same to be true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Company, Advocates,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never informed me of the proposed settlement or consulted the company about its content and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Kimbowa’s</w:t>
      </w:r>
      <w:proofErr w:type="spellEnd"/>
      <w:r>
        <w:rPr>
          <w:rFonts w:ascii="Times New Roman" w:hAnsi="Times New Roman" w:cs="Times New Roman"/>
          <w:color w:val="000000"/>
        </w:rPr>
        <w:t xml:space="preserve"> depositions are corroborated by 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who states: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“2. That I am retained by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Builders and Contractors Ltd. as their lawyer and as such I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acted on their behalf on certain matters.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was instructed by the said company to appear and defend them in the above action.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pursuance of the said instructions I duly entered an appearance and filed a written statement of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time.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since been on record as acting for the above defendant and to my knowledge and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recollection no other firm of lawyers has ever been briefed by my clients the said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Builders and Contractors Ltd., to act for them in the same matter.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according to my records the said suit was fixed for hearing on 8 June 1973 when it was not heard.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know of no settlement having been communicated either to myself or to my clients by either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Lukeera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 and I am not privy to any purported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depositions of Messrs. </w:t>
      </w:r>
      <w:proofErr w:type="spellStart"/>
      <w:r>
        <w:rPr>
          <w:rFonts w:ascii="Times New Roman" w:hAnsi="Times New Roman" w:cs="Times New Roman"/>
          <w:color w:val="000000"/>
        </w:rPr>
        <w:t>Kimbowa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are further supported by the assistant general manager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claims department of the National Insurance Corporation who in the following paragraphs of his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states: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“4. That I was on 24 July 1973 approached by one Joseph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Managing Director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Builders and Contractors Ltd., who showed me a copy of this court’s Attachment Order dated 16 July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1973 and asked me to look into the matter and see whether the Insurance Company could indemnify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defendant company.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thereupon started to look for the relevant file but unfortunately did not trace any as the accident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had not been reported to the Insurance Company by the insured, the said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Kimbowa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Builders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Contractors Ltd.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 further search of the correspondence I was unable to see any of the correspondence whereby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Insurance either instructed its then Advocates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or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Company who took over the files from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 to appear and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 the suit on behalf of the defendant company.”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himself admits that he had no authority to represent the defendant. his deposition in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2 runs as follows: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“2.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I was instructed by the National Insurance Corporation to deal with its cases left over by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on several occasions settled cases out of court subject to instructions from the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Insurance Corporation which approval I have always received.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particular case I was unable to trace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Company’s file but working on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assurance that this case had been drawn to the attention of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before by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Lukeera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 I negotiated a settlement with Messrs.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Lukeera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appears from the National Insurance Corporation’s records and mine that though this is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case in which National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Insurance Corporation may be interested that no actual instructions had been received either by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my predecessors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or by my firm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it appears I was misled in the matter and I acted without proper instructions.”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depositions set out above, make it abundantly clear that the notice of the accident was not given as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by s. 34 of the Act. Consequently the Corporation could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to conduct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which it had no knowledge. I find as a fact that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had no express or implied authority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compromise the suit on behalf of the defendant. He held no brief from the defendant.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act for the Corporation? Mr. </w:t>
      </w:r>
      <w:proofErr w:type="spellStart"/>
      <w:r>
        <w:rPr>
          <w:rFonts w:ascii="Times New Roman" w:hAnsi="Times New Roman" w:cs="Times New Roman"/>
          <w:color w:val="000000"/>
        </w:rPr>
        <w:t>Tibamanya’s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is that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to act for National Insurance Corporation in cases of this nature and that he acted under this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pursuant to the provisions of s.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Traffic and Road Safety Act 1970; that it was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necessary to consult the defendant before effecting a compromise is further </w:t>
      </w:r>
      <w:proofErr w:type="spellStart"/>
      <w:r>
        <w:rPr>
          <w:rFonts w:ascii="Times New Roman" w:hAnsi="Times New Roman" w:cs="Times New Roman"/>
          <w:color w:val="000000"/>
        </w:rPr>
        <w:t>negatived</w:t>
      </w:r>
      <w:proofErr w:type="spellEnd"/>
      <w:r>
        <w:rPr>
          <w:rFonts w:ascii="Times New Roman" w:hAnsi="Times New Roman" w:cs="Times New Roman"/>
          <w:color w:val="000000"/>
        </w:rPr>
        <w:t xml:space="preserve"> by Mr.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who says that he was instructed to handle cases left over by </w:t>
      </w:r>
      <w:proofErr w:type="spellStart"/>
      <w:r>
        <w:rPr>
          <w:rFonts w:ascii="Times New Roman" w:hAnsi="Times New Roman" w:cs="Times New Roman"/>
          <w:color w:val="000000"/>
        </w:rPr>
        <w:t>Kazzora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Company. His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was limited to those cases. As he did not have the file in connection with the case it must be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assumed that Mr. </w:t>
      </w:r>
      <w:proofErr w:type="spellStart"/>
      <w:r>
        <w:rPr>
          <w:rFonts w:ascii="Times New Roman" w:hAnsi="Times New Roman" w:cs="Times New Roman"/>
          <w:color w:val="000000"/>
        </w:rPr>
        <w:t>Kazzora</w:t>
      </w:r>
      <w:proofErr w:type="spellEnd"/>
      <w:r>
        <w:rPr>
          <w:rFonts w:ascii="Times New Roman" w:hAnsi="Times New Roman" w:cs="Times New Roman"/>
          <w:color w:val="000000"/>
        </w:rPr>
        <w:t xml:space="preserve"> had no instructions to represent the National Insurance Corporation. In this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could the Corporation take over proceedings under s.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as alleged? The relevant provisions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s. 35 of the Act relied on by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enact–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“35 (1) An Insurance Company that is a party to a contract of insurance under this Part of this Act,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 . . 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May take over during such period as it thinks proper the conduct and control on behalf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owner or other person of any proceedings taken or had to enforce any such claim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for the settlement of any question arising with reference thereto;. . 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provision, looked at in isolation, appears to give the insurance company the necessary power to take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the conduct of proceedings at any time, but, I believe, it is qualified by s. 35 (2) which enacts: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owner or any other person shall sign all such warrants and authorities as the insurance company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require for the purpose of enabling the insurance company to have the conduct and control of any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proceedings.”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there must be prior agreement between the insurance company and the insured before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takes over the conduct of proceedings. The insurance company must have authority from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insured and </w:t>
      </w:r>
      <w:r>
        <w:rPr>
          <w:rFonts w:ascii="Times New Roman" w:hAnsi="Times New Roman" w:cs="Times New Roman"/>
          <w:color w:val="000000"/>
        </w:rPr>
        <w:lastRenderedPageBreak/>
        <w:t>this authority should appear on the record. Was there such agreement in this case between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Insurance Corporation and the defendant company? The record shows that National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Insurance Corporation was not aware of the proceedings; see para. 6 of Mr. </w:t>
      </w:r>
      <w:proofErr w:type="spellStart"/>
      <w:r>
        <w:rPr>
          <w:rFonts w:ascii="Times New Roman" w:hAnsi="Times New Roman" w:cs="Times New Roman"/>
          <w:color w:val="000000"/>
        </w:rPr>
        <w:t>Laboka-Oweka’s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affidavit;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is corroborated by the deposition of Mr. </w:t>
      </w:r>
      <w:proofErr w:type="spellStart"/>
      <w:r>
        <w:rPr>
          <w:rFonts w:ascii="Times New Roman" w:hAnsi="Times New Roman" w:cs="Times New Roman"/>
          <w:color w:val="000000"/>
        </w:rPr>
        <w:t>Lukeera</w:t>
      </w:r>
      <w:proofErr w:type="spellEnd"/>
      <w:r>
        <w:rPr>
          <w:rFonts w:ascii="Times New Roman" w:hAnsi="Times New Roman" w:cs="Times New Roman"/>
          <w:color w:val="000000"/>
        </w:rPr>
        <w:t xml:space="preserve"> in paras. 17 and 18 of his affidavit which states: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“17. That Mr. Levi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Laboke-Oweka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Kiwanuka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National Insurance Corporation came to my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 during the month of June, the date I cannot recall, and told me that they had heard from their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advocates M/s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that we had settled this case and that they wanted me not to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expedite execution as they did not have the particulars of the accident and that they were in liaison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Messrs.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Mugenyi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 their advocates to obtain particulars and they asked to give them some particulars if I had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made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photostat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copy of all relevant papers in my file and handed them over to Mr.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Kiwanuka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should be noted that the consent judgment was entered on 30 April 1973, and the apportionment was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approved on 8 June 1973. If we accept Mr. </w:t>
      </w:r>
      <w:proofErr w:type="spellStart"/>
      <w:r>
        <w:rPr>
          <w:rFonts w:ascii="Times New Roman" w:hAnsi="Times New Roman" w:cs="Times New Roman"/>
          <w:color w:val="000000"/>
        </w:rPr>
        <w:t>Lukeera’s</w:t>
      </w:r>
      <w:proofErr w:type="spellEnd"/>
      <w:r>
        <w:rPr>
          <w:rFonts w:ascii="Times New Roman" w:hAnsi="Times New Roman" w:cs="Times New Roman"/>
          <w:color w:val="000000"/>
        </w:rPr>
        <w:t xml:space="preserve"> depositions then it becomes apparent that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judgment was entered at a time when the Corporation did not know of the existence of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against the insured and therefore, it could not avail itself of the provisions of s. 35 of the Act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could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its lawyer to compromise the action it was not aware of. Again,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apportionment of damages was approved on 8 June 1973 when the Corporation did not have particulars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accident.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that before an insurance company acts under s.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Traffic and Road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Safety Act 1970 it must have authority from the insured who started the ball rolling by giving a notice of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accident under s. 34 to the company. (In this case we are told no notice was given to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Corporation.) On receipt of the notice the company has three alternatives – it can choose to handle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and negotiate with the third party on behalf of the insured, who would then drop out altogether from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proceedings; or it can wait for proceedings to be brought against the insured. In that case it can take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the proceedings from the insured only in accordance with the provisions of s. 35 (2). This subsection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precludes a company from interfering with proceedings without obtaining the authority of the insured.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alternative is for the company to wait until judgment is entered against the insured and then foot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bill.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provision in the Act whereby an insurance company can be sued by the third party.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Accordingly the third party must bring an action for damages against the </w:t>
      </w:r>
      <w:proofErr w:type="spellStart"/>
      <w:r>
        <w:rPr>
          <w:rFonts w:ascii="Times New Roman" w:hAnsi="Times New Roman" w:cs="Times New Roman"/>
          <w:color w:val="000000"/>
        </w:rPr>
        <w:t>tortfeasor</w:t>
      </w:r>
      <w:proofErr w:type="spellEnd"/>
      <w:r>
        <w:rPr>
          <w:rFonts w:ascii="Times New Roman" w:hAnsi="Times New Roman" w:cs="Times New Roman"/>
          <w:color w:val="000000"/>
        </w:rPr>
        <w:t xml:space="preserve">. I asked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s. 35 (2) of the Traffic and Road Safety Act is implemented in practice. He replied that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would write to him to say that he is instructed to take over the proceedings from the insured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given conditions. Then he would file a notice of change of advocates on the record (which he did not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 in this case.) 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there is no rule requiring such notice of change of advocates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filed. He contended that it is a mere practice which can be departed from and in fact many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do not follow it. It is true there is no rule in the Civil Procedure Rules to require advocates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 a notice of change of advocate but it is desirable that it should be done. This practice has been given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recognition.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Elkan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Narshibhai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Patel</w:t>
      </w:r>
      <w:r>
        <w:rPr>
          <w:rFonts w:ascii="Times New Roman" w:hAnsi="Times New Roman" w:cs="Times New Roman"/>
          <w:color w:val="000000"/>
        </w:rPr>
        <w:t xml:space="preserve">, M.B. 37/60, </w:t>
      </w:r>
      <w:proofErr w:type="spellStart"/>
      <w:r>
        <w:rPr>
          <w:rFonts w:ascii="Times New Roman" w:hAnsi="Times New Roman" w:cs="Times New Roman"/>
          <w:color w:val="000000"/>
        </w:rPr>
        <w:t>McKisack</w:t>
      </w:r>
      <w:proofErr w:type="spellEnd"/>
      <w:r>
        <w:rPr>
          <w:rFonts w:ascii="Times New Roman" w:hAnsi="Times New Roman" w:cs="Times New Roman"/>
          <w:color w:val="000000"/>
        </w:rPr>
        <w:t>, C.J. held that “in the absence of any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in the Civil Procedure Rules equivalent to O. 7 of the Rules of the Supreme Court, an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may be treated as having ceased to act for a party for want of instructions, if he notifies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Registrar, with reasons, and if the Registrar makes an entry on the record accordingly.”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Tibamanya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the insurance company has every right to take over proceedings from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 because under s. 34(3) the insured is precluded from entering upon or incurring the expenses of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as to any matter or thing in respect of which he is so indemnified. I have already discussed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whether the National Insurance Corporation was aware of the claim against the insured. What I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like to add is that in my opinion that subsection referred to does not preclude the insured from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defending his case as is suggested. The matter is put beyond doubt by ss. 34 (4) and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); s.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34 (4) of the Act enables an insurance company to recover from the injured by civil action the amount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by the insurance company to satisfy the judgment.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enables an insurance company to take over proceedings from the insured. These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cannot be complied with unless proceedings against the insured have already begun.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foregoing it is evident that the Corporation did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or instruct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to take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 the conduct and control of the proceedings. I hold that whatever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did he did it without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or from the National Insurance Corporation and the Corporation itself had no authority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 the role of the defendant.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follows, therefore, that the judgment entered on 30 April 1973 and approved on 8 June 1973 is not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judgment. As pointed out above a consent judgment requires that either party is willing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consent to a </w:t>
      </w:r>
      <w:r>
        <w:rPr>
          <w:rFonts w:ascii="Times New Roman" w:hAnsi="Times New Roman" w:cs="Times New Roman"/>
          <w:color w:val="000000"/>
        </w:rPr>
        <w:lastRenderedPageBreak/>
        <w:t>judgment against himself or both parties are agreed as to what the judgment ought to be.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thus reached, if recorded under O. 22,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rr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 2 and 6, binds the parties. In this case it has been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that the defendant has never been a party to the settlement. He was not willing to consent to a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against himself. He never authorised his insurer to take over the proceedings in accordance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s. 35, Traffic and Road Safety Act 1970, thus making himself bound by the action of his insurers.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action was not compromised by his appointed counsel 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>. A judgment irregularly obtained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be set aside.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Anlaby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Praetorius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(1888), 20 Q.B.D., it was held–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a plaintiff has obtained judgment irregularly, the defendant is entitled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debito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justitiae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have such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set aside.”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decision was followed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Ottoman Bank</w:t>
      </w:r>
      <w:r>
        <w:rPr>
          <w:rFonts w:ascii="Times New Roman" w:hAnsi="Times New Roman" w:cs="Times New Roman"/>
          <w:color w:val="000000"/>
        </w:rPr>
        <w:t>, [1968] E.A. 156. In this case the bank obtained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ex-parte judgment against the appellant by reason of his default in filing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appellant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to set aside the judgment. He based his application on the fact that the bank’s advocates had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extended the time within which to file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ten days from the receipt of their letter and that this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was only received by the appellant on 16 March 1967 so that the time within which to file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not yet expired when the bank applied for and obtained judgment on 20 March 1967. The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claimed to be entitled to have the judgment set aside ex </w:t>
      </w:r>
      <w:proofErr w:type="spellStart"/>
      <w:r>
        <w:rPr>
          <w:rFonts w:ascii="Times New Roman" w:hAnsi="Times New Roman" w:cs="Times New Roman"/>
          <w:color w:val="000000"/>
        </w:rPr>
        <w:t>debito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justitiae</w:t>
      </w:r>
      <w:proofErr w:type="spellEnd"/>
      <w:r>
        <w:rPr>
          <w:rFonts w:ascii="Times New Roman" w:hAnsi="Times New Roman" w:cs="Times New Roman"/>
          <w:color w:val="000000"/>
        </w:rPr>
        <w:t>. In his judgment Spry,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J.A. said, “In the present case however, the court had no power to pass judgment since the time for filing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not expired. In my opinion, where a court passes judgment when it has no jurisdiction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so, the person against whom the judgment is passed is entitled as of right to have it set aside and no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can properly be imposed. I think, therefore, that the appeal must succeed.”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Vol. 22, p. 785, para. 1665, Halsbury’s Laws of England, 3rd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 where there has been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procedural irregularity in the proceedings leading up to a judgment or order which is so serious that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or order in question ought to be treated as a nullity then the court will set it aside. In </w:t>
      </w:r>
      <w:r>
        <w:rPr>
          <w:rFonts w:ascii="Times New Roman" w:hAnsi="Times New Roman" w:cs="Times New Roman"/>
          <w:i/>
          <w:iCs/>
          <w:color w:val="000000"/>
        </w:rPr>
        <w:t>Craig</w:t>
      </w:r>
      <w:r w:rsidR="00BE30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Kanssen</w:t>
      </w:r>
      <w:proofErr w:type="spellEnd"/>
      <w:r>
        <w:rPr>
          <w:rFonts w:ascii="Times New Roman" w:hAnsi="Times New Roman" w:cs="Times New Roman"/>
          <w:color w:val="000000"/>
        </w:rPr>
        <w:t>, [1943] 1 K.B. 256, Lord Greene, M.R. at p. 262 said–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“Those cases appear to me to establish that a person who is affected by an order which can properly be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described as a nullity is entitled ex-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debito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justitiae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have it set aside. So far as procedure is concerned, it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seems to me that the court in its inherent jurisdiction can set aside its own order and that it is not necessary to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from it.”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Re Pritchard</w:t>
      </w:r>
      <w:r>
        <w:rPr>
          <w:rFonts w:ascii="Times New Roman" w:hAnsi="Times New Roman" w:cs="Times New Roman"/>
          <w:color w:val="000000"/>
        </w:rPr>
        <w:t>, [1963] 1 All E.R. 873, Upjohn, L.J. said: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authorities establish three classes (and possibly there are also other classes) of proceedings which are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nullities: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Proceedings which ought to have been served but never come to the notice of the defendant at all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>.</w:t>
      </w:r>
      <w:bookmarkStart w:id="0" w:name="_GoBack"/>
      <w:bookmarkEnd w:id="0"/>
      <w:r w:rsidR="00BE3072">
        <w:rPr>
          <w:rFonts w:ascii="Times New Roman" w:hAnsi="Times New Roman" w:cs="Times New Roman"/>
          <w:color w:val="00008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Proceedings which have never started at all owing to some fundamental defect in issuing the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proceedings; and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Proceedings which appear to be duly issued but fail to comply with a statutory requirement.”</w:t>
      </w:r>
      <w:r w:rsidR="00BE30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 far as I have been able to ascertain, the High Court or the Court of Appeal have set aside judgments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were entered prematurely as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Ottoman Bank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Pirhabhai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Hassanali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Devji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[1962] E.A. 306. No case similar to this has ever been decided. However, I have no doubt that it falls in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class (iii) of the nullities above in that although the proceedings up to 8 March 1973, when the case was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down for hearing, were in order, subsequent proceedings offend against the Civil Procedure Rules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O. 3 and O. 22 of the rules.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counsel who compromised the suit was not duly appointed by the applicant to act on his behalf in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O. 3, r. 1. The counsel purported to represent the Corporation which was not a party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without being instructed by the Corporation and yet he purported to file a consent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under O. 22, r. 2 on the defendant’s behalf with his authority, express or implied with full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that he held no brief for him. This procedure is so irregular by itself as to render the judgment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a nullity. In addition the provisions of s. 35 of the Traffic and Road Safety Act 1970 were not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with. I hold that the plaintiff obtained judgment against the defendant in a most extraordinary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way, and it would be grossly unjust for a court to enforce such judgment against him. I would, therefore,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this application.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order that the judgment and the apportionment approved by the court be set aside. I further order that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be restored to the cause list and that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20,000/- deposited in court be refunded to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applicant.</w:t>
      </w:r>
      <w:r w:rsidR="00BE30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Tibamanya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Lukeera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Kampala)</w:t>
      </w:r>
    </w:p>
    <w:p w:rsidR="000B257D" w:rsidRDefault="000B257D" w:rsidP="000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B48C8" w:rsidRDefault="000B257D" w:rsidP="000B257D">
      <w:r>
        <w:rPr>
          <w:rFonts w:ascii="Times New Roman" w:hAnsi="Times New Roman" w:cs="Times New Roman"/>
          <w:i/>
          <w:iCs/>
          <w:color w:val="000000"/>
        </w:rPr>
        <w:t xml:space="preserve">GM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Bamuturaki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7D"/>
    <w:rsid w:val="000B257D"/>
    <w:rsid w:val="006B48C8"/>
    <w:rsid w:val="00B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8C143-D686-4DD1-AC90-F6FC593E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3950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2018-07-05T13:18:00Z</dcterms:created>
  <dcterms:modified xsi:type="dcterms:W3CDTF">2018-07-12T18:24:00Z</dcterms:modified>
</cp:coreProperties>
</file>