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Sambila</w:t>
      </w:r>
      <w:proofErr w:type="spellEnd"/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39/04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Court of Appeal Rules – Effect of failure to include a copy of the decree or order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record of appeal.</w:t>
      </w:r>
    </w:p>
    <w:p w:rsidR="001D380E" w:rsidRDefault="000E419C" w:rsidP="000E4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D380E" w:rsidRDefault="001D380E" w:rsidP="000E41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When this appeal came on for hearing,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  <w:r>
        <w:rPr>
          <w:rFonts w:ascii="Times New Roman" w:hAnsi="Times New Roman" w:cs="Times New Roman"/>
          <w:color w:val="000000"/>
        </w:rPr>
        <w:t>, learned advocate for the respondent,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the following preliminary objection in terms of rule 100 of the Court Rules, namely that: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“Since the record of appeal does not contain the decree or drawn order of the High Court contrary to rule</w:t>
      </w:r>
      <w:r w:rsidR="000E41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89(1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and 2(v) of the Tanzania Court of Appeal Rules, the appeal is incompetent and should be struck out</w:t>
      </w:r>
      <w:r w:rsidR="000E41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costs.”</w:t>
      </w:r>
      <w:r w:rsidR="000E41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essence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is that the record of appeal does not contain a decree and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consequently the appeal is incompetent.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color w:val="000000"/>
        </w:rPr>
        <w:t>, learned advocate for the appellant, readily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the omission of the decree in the record of appeal. However, he submitted that he should be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file a supplementary record under rule 92(3) or amend the record of appeal under rule 104 of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Rules.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crucial issue, in these preliminary proceedings, is whether or not there is an appeal before us.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E419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submitted to the effect that the omission by the appellant to include in the record of appeal a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 of the decree or order as required by rule 89(1)(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and (2)(</w:t>
      </w:r>
      <w:r>
        <w:rPr>
          <w:rFonts w:ascii="Times New Roman" w:hAnsi="Times New Roman" w:cs="Times New Roman"/>
          <w:i/>
          <w:iCs/>
          <w:color w:val="000000"/>
        </w:rPr>
        <w:t>v</w:t>
      </w:r>
      <w:r>
        <w:rPr>
          <w:rFonts w:ascii="Times New Roman" w:hAnsi="Times New Roman" w:cs="Times New Roman"/>
          <w:color w:val="000000"/>
        </w:rPr>
        <w:t>) of the Court Rules, renders the appeal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considerable merit in this submission. Rule 89(1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and (2)(v) sets out a list of documents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to be included in the record of appeal including “the decree or order”. Documents involved in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prosecution of an appeal are </w:t>
      </w:r>
      <w:proofErr w:type="spellStart"/>
      <w:r>
        <w:rPr>
          <w:rFonts w:ascii="Times New Roman" w:hAnsi="Times New Roman" w:cs="Times New Roman"/>
          <w:color w:val="000000"/>
        </w:rPr>
        <w:t>alot</w:t>
      </w:r>
      <w:proofErr w:type="spellEnd"/>
      <w:r>
        <w:rPr>
          <w:rFonts w:ascii="Times New Roman" w:hAnsi="Times New Roman" w:cs="Times New Roman"/>
          <w:color w:val="000000"/>
        </w:rPr>
        <w:t xml:space="preserve"> more than a notice of appeal and memorandum of appeal. It is clear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this provision that a decree or order is required to be part of the record of appeal in an appeal from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either in the exercise of its original or appellate jurisdiction. Failure to extract the decree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order in terms of rule 89(1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and (2)(</w:t>
      </w:r>
      <w:r>
        <w:rPr>
          <w:rFonts w:ascii="Times New Roman" w:hAnsi="Times New Roman" w:cs="Times New Roman"/>
          <w:i/>
          <w:iCs/>
          <w:color w:val="000000"/>
        </w:rPr>
        <w:t>v</w:t>
      </w:r>
      <w:r>
        <w:rPr>
          <w:rFonts w:ascii="Times New Roman" w:hAnsi="Times New Roman" w:cs="Times New Roman"/>
          <w:color w:val="000000"/>
        </w:rPr>
        <w:t>) of the Court Rules renders the appeal incompetent and has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resulted in striking out such an appeal.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TLR 394,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Civil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number 43 of 1996 (UR), </w:t>
      </w:r>
      <w:r>
        <w:rPr>
          <w:rFonts w:ascii="Times New Roman" w:hAnsi="Times New Roman" w:cs="Times New Roman"/>
          <w:i/>
          <w:iCs/>
          <w:color w:val="000000"/>
        </w:rPr>
        <w:t xml:space="preserve">Masha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(UR).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we sustain the preliminary objection. The appeal is incompetent for non-extraction of the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or order in terms of rule 89(1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and (2)(</w:t>
      </w:r>
      <w:r>
        <w:rPr>
          <w:rFonts w:ascii="Times New Roman" w:hAnsi="Times New Roman" w:cs="Times New Roman"/>
          <w:i/>
          <w:iCs/>
          <w:color w:val="000000"/>
        </w:rPr>
        <w:t>v</w:t>
      </w:r>
      <w:r>
        <w:rPr>
          <w:rFonts w:ascii="Times New Roman" w:hAnsi="Times New Roman" w:cs="Times New Roman"/>
          <w:color w:val="000000"/>
        </w:rPr>
        <w:t>) of the Court Rules 1979. It is, accordingly, struck out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costs. Of course, the appellant, if he so wishes, can institute the appea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l afresh by making the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application before the High Court.</w:t>
      </w:r>
      <w:r w:rsidR="000E41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</w:p>
    <w:p w:rsidR="001D380E" w:rsidRDefault="001D380E" w:rsidP="001D3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1D380E" w:rsidP="001D380E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0E"/>
    <w:rsid w:val="000E419C"/>
    <w:rsid w:val="001D380E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F061F-6D69-42EF-B8F7-26623E54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2018-07-04T19:01:00Z</dcterms:created>
  <dcterms:modified xsi:type="dcterms:W3CDTF">2018-07-12T18:26:00Z</dcterms:modified>
</cp:coreProperties>
</file>