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April 2004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181/04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Bigamy – Man contracting second marriage during subsistence of monogamous marriage –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Convicted of bigamy – Whether appeal against conviction has chances of success.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Bail pending appeal – Who may swear affidavit in support of the application –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Conditions for grant of bail – Applicant convicted of bigamy and sentenced to three years’ imprisonment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appeal has chances of success.</w:t>
      </w:r>
    </w:p>
    <w:p w:rsidR="00117064" w:rsidRDefault="00F43940" w:rsidP="00F43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117064" w:rsidRDefault="00117064" w:rsidP="00F4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Ochieng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AJ: </w:t>
      </w:r>
      <w:r>
        <w:rPr>
          <w:rFonts w:ascii="Times New Roman" w:hAnsi="Times New Roman" w:cs="Times New Roman"/>
          <w:color w:val="000000"/>
        </w:rPr>
        <w:t>This is an application pursuant to the provisions of sections 354, 355, 356 and 357 of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Code (Chapter 75), the Judicature Act (Chapter 8), and all other enabling provisions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law.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far as I can see, section 354 sets out the procedure to be adopted at the hearing of an appeal at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As this application is for the Applicant to be admitted to a bail pending the hearing and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his appeal, I do not see the relevance of section 354.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section cited by the Applicant as the basis for his application is section 355, which basically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stipulates that when a case is decided on appeal by the High Court, it shall certify its judgment or order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by which the conviction, sentence or order appealed against was recorded or passed. In my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understanding this section spells out the steps to be taken as and when a case is decided on appeal by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To my understanding, the section cannot be the foundation for an application for an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be admitted to bail pending the hearing and determination of his appeal.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356 applies to persons who were applying for bail or stay of execution, pending the entering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 appeal. From my reading of the record before me, the Applicant filed his petition of appeal on 2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2004. The said appeal had not yet been admitted to hearing, as at the date when this application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canvassed before me, on 14 April 2004. It would therefore follow that this is the proper provision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which the application could be made.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Applicant has nonetheless cited section 357 of the Criminal Procedure Code, the Judicature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the High Court Rules and all other enabling provisions of law.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reading of section 357 of the Criminal Procedure Code reveals that it is available to an appellant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wishes to be admitted to bail pending appeal, after the entering of the appeal. In effect, if an appeal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not yet been admitted to hearing, the provisions of section of 357 would not come into play. On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hand if an appeal had been entered for hearing, section 356 would no longer be applicable.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it follows that, the provisions of sections 356 and 357 cannot be relied upon in one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citation of the Judicature Act, the High Court Rules and all other enabling provisions of law, is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mind the action of someone who is desperate, yet not focused. Desperate, because it smacks of an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 to grasp at any reeds that may come the way of the applicant. Not focused, because if there were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in the Judicature Act, the High Court Rules or all other enabling provisions of law,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counsel ought to find them, and specify them. By telling the court the specific provisions of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 governing an application, the applicant helps both himself and the court in advancing the course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justice. I say so because, after identifying the applicable provision of law, the applicant’s counsel will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strive to illustrate how his client’s case fits the various requirements stipulated in the particular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provision(s). On its part, the court too would concentrate its attention on ascertaining whether or not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had satisfied the requirements for the grant of the orders sought, under the specified provisions.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believe that is about time that counsel are reminded that they do not gain any advantage by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to cast their nets far and wide, to catch such “fish” as all other enabling provisions of law, or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statutes, without specifying particular sections or parts thereof.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Kimanthi</w:t>
      </w:r>
      <w:proofErr w:type="spellEnd"/>
      <w:r>
        <w:rPr>
          <w:rFonts w:ascii="Times New Roman" w:hAnsi="Times New Roman" w:cs="Times New Roman"/>
          <w:color w:val="000000"/>
        </w:rPr>
        <w:t>, advocate submitted that the Applicant ought to be admitted to bail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the hearing of this appeal, on the grounds that the Applicant is a person of an advanced age.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Applicant is 75 years old. Due to his age, it is contended </w:t>
      </w:r>
      <w:r>
        <w:rPr>
          <w:rFonts w:ascii="Times New Roman" w:hAnsi="Times New Roman" w:cs="Times New Roman"/>
          <w:color w:val="000000"/>
        </w:rPr>
        <w:lastRenderedPageBreak/>
        <w:t>that the Applicant’s continued stay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prison will expose his life to real danger. I was informed that the Applicant’s health had deteriorated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his conviction on 25 March 2004. In support of this assertion, that the Applicant’s health had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deteriorated, his second wife,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, swore an affidavit. In the said affidavit 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that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Applicant’s health had deteriorated to the extent that he was not able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anybody.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deterioration in the Applicant’s health is said to be a far cry from his state of health during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period, when the Applicant was out on bond. And the court was informed that during the trial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who was out on a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50 000 bond, never failed to attend court. It is also said that he always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the terms of bond. For those reasons, the Applicant’s second wife says that the Applicant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dutifully attend court, if he is admitted to bail.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also reminded that the Applicant has two families, that of his first wife, who was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complainant, and that of his second wife. These facts were cited as reason enough why the Applicant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no reason to abscond, if he was released on bail pending appeal.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factor that was brought into play is the fact that although the Applicant’s ignorance of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is no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court ought nonetheless to take into account the fact that the offence for which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was convicted was more of a civil than criminal nature.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his application, the Applicant cited the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[1958] EA 337.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case held that the principle to be applied was that bail pending appeal should only be granted for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exceptional and unusual reasons. Applying the said principle to this case, counsel says that the advanced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 of the Applicant is the exceptional reason. He also submitted that the appeal against sentence had an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overwhelming chance of success.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Finally, the Applicant stated that he would be willing to deposit any security as the court may direct.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he is definitely going to make himself available at the hearing of the appeal, if he is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released on bail.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response to the application, the Respondent mounted a vigorous opposition. Learned State Counsel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LA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Okumu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submitted that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had absolutely no </w:t>
      </w:r>
      <w:r>
        <w:rPr>
          <w:rFonts w:ascii="Times New Roman" w:hAnsi="Times New Roman" w:cs="Times New Roman"/>
          <w:i/>
          <w:iCs/>
          <w:color w:val="000000"/>
        </w:rPr>
        <w:t xml:space="preserve">locus </w:t>
      </w:r>
      <w:r>
        <w:rPr>
          <w:rFonts w:ascii="Times New Roman" w:hAnsi="Times New Roman" w:cs="Times New Roman"/>
          <w:color w:val="000000"/>
        </w:rPr>
        <w:t>to swear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in support of the application. It is to be recalled that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is the second wife to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 The charges against the Applicant emanated from the fact that he had contracted a ceremony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marriage with the said 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, whilst he knew that he had a living wife, Jane Frances </w:t>
      </w:r>
      <w:proofErr w:type="spellStart"/>
      <w:r>
        <w:rPr>
          <w:rFonts w:ascii="Times New Roman" w:hAnsi="Times New Roman" w:cs="Times New Roman"/>
          <w:color w:val="000000"/>
        </w:rPr>
        <w:t>Wanjiku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Notwithstanding that fact, the Respondent asserts that 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did not have </w:t>
      </w:r>
      <w:r>
        <w:rPr>
          <w:rFonts w:ascii="Times New Roman" w:hAnsi="Times New Roman" w:cs="Times New Roman"/>
          <w:i/>
          <w:iCs/>
          <w:color w:val="000000"/>
        </w:rPr>
        <w:t xml:space="preserve">locus </w:t>
      </w:r>
      <w:r>
        <w:rPr>
          <w:rFonts w:ascii="Times New Roman" w:hAnsi="Times New Roman" w:cs="Times New Roman"/>
          <w:color w:val="000000"/>
        </w:rPr>
        <w:t>to swear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affidavit. The basis for that submission was said to be the provisions of section 77(2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Kenya. The said section provides as follows: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“Every person who is charged with a criminal offence …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shall be permitted to defend himself before the court in person or by a legal representative of his own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choice”.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the Respondent’s contention that this section enables only the person charged or his advocate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swear an affidavit to support an application such as the one before me. When I sought legal authority for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contention, the Respondent had none. However, the Respondent submitted that by swearing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in support of the present application,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was flouting the afore-cited legal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provisions. In answer to that contention, the Applicant explained that the term “legal representative”, as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in section 77(2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Constitution extends to cover the members of the family, of the person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charged. He said that by virtue of being the Applicant’s wife, by itself, gave </w:t>
      </w:r>
      <w:r>
        <w:rPr>
          <w:rFonts w:ascii="Times New Roman" w:hAnsi="Times New Roman" w:cs="Times New Roman"/>
          <w:i/>
          <w:iCs/>
          <w:color w:val="000000"/>
        </w:rPr>
        <w:t xml:space="preserve">locus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swear the affidavit. However, when I asked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Kimanthi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how, in law, the fact of being the Applicant’s wife made her his legal representative, he did not offer any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explanation. To my mind, the fact that a lady was the wife of an applicant would not make her the legal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of such an applicant. The term “legal representative” is not a meaningless phrase.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circumstances, it has very specific meanings. For instance, in relation to probate and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matters, the term means that person to whom the court has granted the requisite authority.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Civil Procedure Act (Chapter 21), the phrase “legal representative” means a person who,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represents the estate of the deceased person, and where a party sues or is sued in a representative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 the person on whom the estate devolves on the death of the party so suing or being sued. I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 that the use of the term “legal representative” in section 77(2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Constitution of Kenya is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to be understood in the manner in which it is defined in the Civil Procedure Act. To my mind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as used in section 77(2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must be intended to mean Applicant’s advocate. Therefore, the said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phrase cannot extend to cover members of the Applicant’s family, as suggested by the Applicant’s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said so, does that mean that the deponent did not have </w:t>
      </w:r>
      <w:r>
        <w:rPr>
          <w:rFonts w:ascii="Times New Roman" w:hAnsi="Times New Roman" w:cs="Times New Roman"/>
          <w:i/>
          <w:iCs/>
          <w:color w:val="000000"/>
        </w:rPr>
        <w:t>locus</w:t>
      </w:r>
      <w:r>
        <w:rPr>
          <w:rFonts w:ascii="Times New Roman" w:hAnsi="Times New Roman" w:cs="Times New Roman"/>
          <w:color w:val="000000"/>
        </w:rPr>
        <w:t>, as submitted by the Respondent?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I therefore strike out the affidavit? Whereas, the Applicant’s wife could not be construed as his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“legal representative” as defined above, I nonetheless think that the objection to the affidavit is not well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founded. My considered view is that, by swearing an affidavit to support the present application,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was not arrogating to herself the role of the Applicant’s advocate. She was only trying to put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before the court to support the application. I do not therefore find any issue as to her </w:t>
      </w:r>
      <w:r>
        <w:rPr>
          <w:rFonts w:ascii="Times New Roman" w:hAnsi="Times New Roman" w:cs="Times New Roman"/>
          <w:i/>
          <w:iCs/>
          <w:color w:val="000000"/>
        </w:rPr>
        <w:t>locus</w:t>
      </w:r>
      <w:r>
        <w:rPr>
          <w:rFonts w:ascii="Times New Roman" w:hAnsi="Times New Roman" w:cs="Times New Roman"/>
          <w:color w:val="000000"/>
        </w:rPr>
        <w:t>,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she was no more than a witness.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Mundia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[1986] KLR 623 </w:t>
      </w:r>
      <w:proofErr w:type="spellStart"/>
      <w:r>
        <w:rPr>
          <w:rFonts w:ascii="Times New Roman" w:hAnsi="Times New Roman" w:cs="Times New Roman"/>
          <w:color w:val="000000"/>
        </w:rPr>
        <w:t>Tanui</w:t>
      </w:r>
      <w:proofErr w:type="spellEnd"/>
      <w:r>
        <w:rPr>
          <w:rFonts w:ascii="Times New Roman" w:hAnsi="Times New Roman" w:cs="Times New Roman"/>
          <w:color w:val="000000"/>
        </w:rPr>
        <w:t xml:space="preserve"> J handled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for bail pending appeal. One of the pieces of evidence that was placed before him,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 of the application was a medical certificate issued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Mngola</w:t>
      </w:r>
      <w:proofErr w:type="spellEnd"/>
      <w:r>
        <w:rPr>
          <w:rFonts w:ascii="Times New Roman" w:hAnsi="Times New Roman" w:cs="Times New Roman"/>
          <w:color w:val="000000"/>
        </w:rPr>
        <w:t>. Although the application was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refused by the court,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Mngola</w:t>
      </w:r>
      <w:proofErr w:type="spellEnd"/>
      <w:r>
        <w:rPr>
          <w:rFonts w:ascii="Times New Roman" w:hAnsi="Times New Roman" w:cs="Times New Roman"/>
          <w:color w:val="000000"/>
        </w:rPr>
        <w:t xml:space="preserve"> was taken into consideration. I therefore find that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of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Anne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is properly before the court, and will thus be given due consideration in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 of this ruling.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ground for opposing the application was that the Applicant had failed to show that his appeal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overwhelming chances of success. The Respondent noted that the Applicant’s counsel had conceded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Applicant had two wives. This concession is further verified by the affidavit of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 w:rsidR="00F439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she describes herself as “the second wife of the Appellant/Applicant”.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these admissions, the Respondent contends that the appeal against conviction would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absolutely no chances of success. But that assessment is not only founded on the material before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 It is also supported by the evidence adduced at the trial, which showed that at the time when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went through a ceremony of marriage with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>, he (Applicant) had a living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wife, Jane Frances </w:t>
      </w:r>
      <w:proofErr w:type="spellStart"/>
      <w:r>
        <w:rPr>
          <w:rFonts w:ascii="Times New Roman" w:hAnsi="Times New Roman" w:cs="Times New Roman"/>
          <w:color w:val="000000"/>
        </w:rPr>
        <w:t>Wanjiku</w:t>
      </w:r>
      <w:proofErr w:type="spellEnd"/>
      <w:r>
        <w:rPr>
          <w:rFonts w:ascii="Times New Roman" w:hAnsi="Times New Roman" w:cs="Times New Roman"/>
          <w:color w:val="000000"/>
        </w:rPr>
        <w:t>, with whom he had celebrated a monogamous marriage, on 2 July 1960.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extent, the Court accepts the Respondent’s submission.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I must pause here to ask whether the deposition by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>, that she is the Applicant’s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wife, is an accurate statement of law. I deem it necessary to post this question because not only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term herself as the “second wife”, her advocate and the Respondent both also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reiterated the same understanding. However, I believe that the correct position must be that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 w:rsidR="00F439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is not, legally, the wife of the Applicant. She could not have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the Applicant’s wife because as at the time when she and the Applicant went through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ceremony of marriage, the Applicant did not have legal capacity to marry. He had already contracted a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monogamous marriage with Jane Frances </w:t>
      </w:r>
      <w:proofErr w:type="spellStart"/>
      <w:r>
        <w:rPr>
          <w:rFonts w:ascii="Times New Roman" w:hAnsi="Times New Roman" w:cs="Times New Roman"/>
          <w:color w:val="000000"/>
        </w:rPr>
        <w:t>Wanjiku</w:t>
      </w:r>
      <w:proofErr w:type="spellEnd"/>
      <w:r>
        <w:rPr>
          <w:rFonts w:ascii="Times New Roman" w:hAnsi="Times New Roman" w:cs="Times New Roman"/>
          <w:color w:val="000000"/>
        </w:rPr>
        <w:t xml:space="preserve"> in 1960. That marriage to Jane Frances </w:t>
      </w:r>
      <w:proofErr w:type="spellStart"/>
      <w:r>
        <w:rPr>
          <w:rFonts w:ascii="Times New Roman" w:hAnsi="Times New Roman" w:cs="Times New Roman"/>
          <w:color w:val="000000"/>
        </w:rPr>
        <w:t>Wanjiku</w:t>
      </w:r>
      <w:proofErr w:type="spellEnd"/>
      <w:r>
        <w:rPr>
          <w:rFonts w:ascii="Times New Roman" w:hAnsi="Times New Roman" w:cs="Times New Roman"/>
          <w:color w:val="000000"/>
        </w:rPr>
        <w:t xml:space="preserve"> had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annulled, and the two parties to the marital union were both alive.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to be noted that the offence of bigamy is defined at section 171 of the Penal Code (Chapter 63),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terms: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person who, having a husband or wife living, goes through a ceremony of marriage which is void by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 of its taking place during the life of the husband or wife, is guilty of a felony and is liable to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imprisonment for five years: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this section shall not extend to any person whose marriage with the husband or wife has been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declared void by a court of competent jurisdiction, nor to any person who contracts a marriage during the life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 former husband or wife if the husband or wife, at the time of the subsequent marriage, has been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continually absent from such person for the space of seven years, and has not been heard of by such person as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alive within that time”.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ceremony between the Applicant and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was therefore void, pursuant to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section 171 of the Penal Code. It could not confer on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the title of “wife”.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Moving on now to the third ground upon which the application is opposed, the Learned State Counsel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offence was definitely of a criminal nature, as it was spelt out in the Penal Code.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 do not think that just because an offence is spelt out in the Penal Code would render it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incapable of being described as being more of a civil, than criminal nature. It is first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an offence was clothed with criminality through legislation, it would not be a criminal offence.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on the other hand, there are some criminal offences which are often termed as “technical”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 failure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remit levies; some are described as “‘economic crimes”, or “offences against the person” etc. To my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mind, a criminal offence is capable of being described as being more of a civil than criminal nature.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description does not undo the tag of criminality pinned to the offence. It is perhaps more descriptive of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probable state of mind of the offender, at the time when he was committing the offence and also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perception of the society of the offence itself. I do take judicial notice of the fact that in the Kenyan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society, it seems to be widely accepted that a man who has contracted a monogamous marriage may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“marry” another wife. I say that it seems to be widely accepted because, provided that the man continues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look after both or all his wives properly, society hardly ever frowns at the said man. This example is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sharp contrast to a robber, murderer, child snatcher, etc. However, even though the society may not frown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such a union of the man who marries more wives than permitted by law, the said man would,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be liable to prosecution for bigamy.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fourth ground for opposing the application was that there was no medical </w:t>
      </w:r>
      <w:r>
        <w:rPr>
          <w:rFonts w:ascii="Times New Roman" w:hAnsi="Times New Roman" w:cs="Times New Roman"/>
          <w:color w:val="000000"/>
        </w:rPr>
        <w:lastRenderedPageBreak/>
        <w:t>evidence to support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that the Applicant’s health had deteriorated. It was the Respondent’s contention that evidence of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ailment would only be admissible if it emanated from a doctor. Whilst this Court accepts that the best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in relation to matters of ill-health is that given by doctors or other persons with medical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qualification, it would be wrong to make a hard and fast rule that evidence by any non-medical person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worthless. Every case must be assessed on its own merits. There would be instances wherein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may even reject the evidence of doctors; whilst, on the other hand, the court may in some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accept the evidence of a person unqualified in medicine.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before me,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Applicant was ailing at the time of his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conviction. She also states that since the Applicant was sentenced, she had visited the Applicant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prison, and had found that his health had deteriorated, to the extent that he was not able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anybody. The observations made by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>, regarding the Applicant’s health, would not, in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 view require a doctor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>. If the Applicant had deteriorated in health and was not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people,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should be able to know. From the evidence on record, she had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lived with the Applicant for many years. First she stayed at his home, whilst working as the house-help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Mukami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Rigii</w:t>
      </w:r>
      <w:proofErr w:type="spellEnd"/>
      <w:r>
        <w:rPr>
          <w:rFonts w:ascii="Times New Roman" w:hAnsi="Times New Roman" w:cs="Times New Roman"/>
          <w:color w:val="000000"/>
        </w:rPr>
        <w:t>, the Applicant’s daughter. He said employment commenced in 1991. Thereafter, she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living with the Applicant in a rented house, from 1995. In those circumstances, I have no reason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doubt Anne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Chege’s</w:t>
      </w:r>
      <w:proofErr w:type="spellEnd"/>
      <w:r>
        <w:rPr>
          <w:rFonts w:ascii="Times New Roman" w:hAnsi="Times New Roman" w:cs="Times New Roman"/>
          <w:color w:val="000000"/>
        </w:rPr>
        <w:t xml:space="preserve"> assessment of the Applicant’s ill-health.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612 the Court of Appeal gave due consideration to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applicable to the grant or denial of bail pending appeal. And first, I must say that their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Lordships explained that they had the same authority and jurisdiction as that of the High Court in relation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applications for bail pending appeal. Having given that explanation, the Court of Appeal set down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principles, at 613: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most important issue here is if the appeal has such overwhelming chances of success that there is no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justification for depriving the Applicant his liberty. The minor relevant considerations would be whether there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exceptional or unusual circumstances. The previous good character of the Applicant and the hardship, if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any, facing the wife and children of the Applicant are not exceptional or unusual factors: see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Somo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</w:t>
      </w:r>
      <w:r w:rsidR="00F43940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[1972] EA 476. A solemn assertion by an applicant that he will not abscond if he is released is not sufficient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ground, even with support of sureties, for releasing a convicted person on bail pending appeal. The Applicant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certified to be fit by a doctor on 23 September 1986 and so no issue of ill-health arises. We are not to be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taken to mean that ill-health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per se </w:t>
      </w:r>
      <w:r>
        <w:rPr>
          <w:rFonts w:ascii="Times New Roman" w:hAnsi="Times New Roman" w:cs="Times New Roman"/>
          <w:color w:val="000000"/>
          <w:sz w:val="20"/>
          <w:szCs w:val="20"/>
        </w:rPr>
        <w:t>would constitute an exceptional or unusual circumstance in every case.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exist medical facilities for prisoners in the country”.</w:t>
      </w:r>
      <w:r w:rsidR="00F43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Applicant is over 75 years old. Clearly, as the trial Magistrate observed just before she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delivered her sentence, the Applicant is well advanced in age. His health is also deteriorating. Already 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not able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people. I therefore believe that his life could be in real danger if he continued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in prison. I consider those to be circumstances that are peculiar to this person. Thus whereas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ill-health alone may not necessarily constitute exceptional circumstances, I deem the combination of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age and ill-health to be exceptional. The other peculiarity in this case is the nature of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for which the Applicant was convicted. It is an offence which has always existed in our Statutes,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in respect of which there have been hardly any prosecutions. However, it would be wrong for me to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the impression that the conviction was not well founded. From the evidence on record, I believe that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was sound. To that extent, I do not think that there would be any chances of success against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conviction. However, bearing in mind the nature of the offence and the circumstances in which it was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committed, I hold the view that the sentence of three years is probably harsh.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also have noted that the Applicant did not fail at all to attend court during the trial, when he was out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bond. Given the nature of the offence, the age of the Applicant and his state of health, I believe that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little likelihood of his absconding. In these circumstances, I believe that the interests of justice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best served by admitting the Applicant to bail pending appeal. I say so because I hold the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view that whilst the Applicant should be punished for the offence he has committed, he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perhaps needs more rehabilitation than condemn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nation. At any rate, I do not see the need to have to keep him away from society, as I would a rapist,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car-</w:t>
      </w:r>
      <w:proofErr w:type="spellStart"/>
      <w:r>
        <w:rPr>
          <w:rFonts w:ascii="Times New Roman" w:hAnsi="Times New Roman" w:cs="Times New Roman"/>
          <w:color w:val="000000"/>
        </w:rPr>
        <w:t>jacker</w:t>
      </w:r>
      <w:proofErr w:type="spellEnd"/>
      <w:r>
        <w:rPr>
          <w:rFonts w:ascii="Times New Roman" w:hAnsi="Times New Roman" w:cs="Times New Roman"/>
          <w:color w:val="000000"/>
        </w:rPr>
        <w:t xml:space="preserve"> or robber.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therefore order that the Applicant may be released on bond pending the hearing and determination of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appeal, on the following conditions:</w:t>
      </w:r>
      <w:r w:rsidR="00F439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(a) The Applicant shall execute his own personal bond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The Applicant shall provide one Kenyan surety,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Kimanthi</w:t>
      </w:r>
      <w:proofErr w:type="spellEnd"/>
    </w:p>
    <w:p w:rsidR="00117064" w:rsidRDefault="00117064" w:rsidP="00117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117064" w:rsidP="00117064">
      <w:r>
        <w:rPr>
          <w:rFonts w:ascii="Times New Roman" w:hAnsi="Times New Roman" w:cs="Times New Roman"/>
          <w:i/>
          <w:iCs/>
          <w:color w:val="000000"/>
        </w:rPr>
        <w:t xml:space="preserve">LA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Okumu</w:t>
      </w:r>
      <w:proofErr w:type="spellEnd"/>
      <w:r>
        <w:rPr>
          <w:rFonts w:ascii="Times New Roman" w:hAnsi="Times New Roman" w:cs="Times New Roman"/>
          <w:color w:val="000000"/>
        </w:rPr>
        <w:t>, State Counsel instructed by the Attorney-General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64"/>
    <w:rsid w:val="00117064"/>
    <w:rsid w:val="0021070D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0BD6-4D36-4C96-83E0-48F6C96A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2018-07-04T13:52:00Z</dcterms:created>
  <dcterms:modified xsi:type="dcterms:W3CDTF">2018-07-12T18:28:00Z</dcterms:modified>
</cp:coreProperties>
</file>