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72" w:rsidRDefault="00C64E28" w:rsidP="00C64E28">
      <w:pPr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Kahia v Nganga</w:t>
      </w:r>
      <w:r w:rsidR="002F6D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</w:p>
    <w:p w:rsidR="002F6D72" w:rsidRDefault="00C64E28" w:rsidP="00C64E28">
      <w:pPr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March 2004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16/01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O’Kubasu, Githinji JJA and Onyango Otieno AJA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[1] Civil procedure – Interest – Interest awarded at higher rate without pleading or proof – Whether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trial court had properly determined the question of interest.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Land – Transfer – Consent of land control board not obtained – Purchaser moved into possession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but subsequently evicted – Transfer void for all purposes – Whether purchaser entitled to recover his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purchase price.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Limitation – Transfer of land – Claim for refund of purchase price – Purchaser entered into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possession – Contract void for all purposes – Purchaser subsequently evicted – Whether time begins to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run from time of transfer or from time of eviction.</w:t>
      </w:r>
      <w:r w:rsidR="002F6D72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2F6D72" w:rsidRDefault="00C64E28" w:rsidP="002F6D72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2F6D72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the administrator of the estate of the former owner of the land in question. The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entered into a land purchase agreement with the deceased. He paid substantially the whole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price and entered into possession. However, the deceased failed to facilitate the obtaining of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Control Board consent prior to her demise. The land sale agreement was therefore void for all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for failure to obtain consent of the Land Control Board. The Appellant, the deceased’s son,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evicted the Respondent.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sued to recover the purchase price. The trial court gave judgment in favour of the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and also awarded interest at 25%. The Appellant appealed, contending that the limitation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had accrued, that the Respondent’s evidence was faulty, that the sum awarded was not due and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rate of interest awarded had not been pleaded and proved.</w:t>
      </w:r>
      <w:r w:rsidR="002F6D72">
        <w:rPr>
          <w:rFonts w:ascii="Times New Roman" w:hAnsi="Times New Roman" w:cs="Times New Roman"/>
          <w:color w:val="000000"/>
        </w:rPr>
        <w:t xml:space="preserve"> </w:t>
      </w:r>
    </w:p>
    <w:p w:rsidR="002F6D72" w:rsidRDefault="00C64E28" w:rsidP="002F6D72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land transaction in this case required Land Control Board consent and became void for all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in the absence of that consent. Any money or consideration paid in the course of the transaction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 recoverable as a debt by the person to whom it was paid. However, no general or special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save for the purchase price were recoverable (</w:t>
      </w:r>
      <w:r>
        <w:rPr>
          <w:rFonts w:ascii="Times New Roman" w:hAnsi="Times New Roman" w:cs="Times New Roman"/>
          <w:i/>
          <w:iCs/>
          <w:color w:val="000000"/>
        </w:rPr>
        <w:t xml:space="preserve">Kariuki v Kariuki </w:t>
      </w:r>
      <w:r>
        <w:rPr>
          <w:rFonts w:ascii="Times New Roman" w:hAnsi="Times New Roman" w:cs="Times New Roman"/>
          <w:color w:val="000000"/>
        </w:rPr>
        <w:t>[1983] KLR 225 followed).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limitation for the recovery of the purchase price in the land transaction began to run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proposed purchaser was evicted from the land, and not when the money was paid. The cause of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was therefore brought well within time.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purchaser had not sought interest at any special rate. In such circumstances, the rate of interest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at court rates. Since the purchaser had neither pleaded nor led evidence to prove interest at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25%, it was inappropriate for the trial judge to order interest at 25%.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was partially upheld, in that the interest rate was reduced to 12%.</w:t>
      </w:r>
      <w:r w:rsidR="002F6D72">
        <w:rPr>
          <w:rFonts w:ascii="Times New Roman" w:hAnsi="Times New Roman" w:cs="Times New Roman"/>
          <w:color w:val="000000"/>
        </w:rPr>
        <w:t xml:space="preserve"> </w:t>
      </w:r>
    </w:p>
    <w:p w:rsidR="0021070D" w:rsidRDefault="00C64E28" w:rsidP="00C64E28"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  <w:r w:rsidR="002F6D72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Cheboo v Gimunyigei </w:t>
      </w:r>
      <w:r>
        <w:rPr>
          <w:rFonts w:ascii="Times New Roman" w:hAnsi="Times New Roman" w:cs="Times New Roman"/>
          <w:color w:val="000000"/>
        </w:rPr>
        <w:t>[1978] LLR 4079 (CAK)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Gandy v Caspair </w:t>
      </w:r>
      <w:r>
        <w:rPr>
          <w:rFonts w:ascii="Times New Roman" w:hAnsi="Times New Roman" w:cs="Times New Roman"/>
          <w:color w:val="000000"/>
        </w:rPr>
        <w:t>[1956] EACA 139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Kariuki v Kariuki </w:t>
      </w:r>
      <w:r>
        <w:rPr>
          <w:rFonts w:ascii="Times New Roman" w:hAnsi="Times New Roman" w:cs="Times New Roman"/>
          <w:color w:val="000000"/>
        </w:rPr>
        <w:t xml:space="preserve">[1983] KLR 225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r w:rsidR="002F6D72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Karuri v Gituru and others </w:t>
      </w:r>
      <w:r>
        <w:rPr>
          <w:rFonts w:ascii="Times New Roman" w:hAnsi="Times New Roman" w:cs="Times New Roman"/>
          <w:color w:val="000000"/>
        </w:rPr>
        <w:t>[1980] LLR 2218 (CAK)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Limited v Mbaluka and others </w:t>
      </w:r>
      <w:r>
        <w:rPr>
          <w:rFonts w:ascii="Times New Roman" w:hAnsi="Times New Roman" w:cs="Times New Roman"/>
          <w:color w:val="000000"/>
        </w:rPr>
        <w:t>[1997] LLR 638 (CAK)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Nkalubo v Kibirige </w:t>
      </w:r>
      <w:r>
        <w:rPr>
          <w:rFonts w:ascii="Times New Roman" w:hAnsi="Times New Roman" w:cs="Times New Roman"/>
          <w:color w:val="000000"/>
        </w:rPr>
        <w:t>[1973] EA 102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Odd Jobs v Mubia </w:t>
      </w:r>
      <w:r>
        <w:rPr>
          <w:rFonts w:ascii="Times New Roman" w:hAnsi="Times New Roman" w:cs="Times New Roman"/>
          <w:color w:val="000000"/>
        </w:rPr>
        <w:t>[1970] EA 476</w:t>
      </w:r>
      <w:r w:rsidR="002F6D7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Selle v Associated Motor Boat Company Limited </w:t>
      </w:r>
      <w:r>
        <w:rPr>
          <w:rFonts w:ascii="Times New Roman" w:hAnsi="Times New Roman" w:cs="Times New Roman"/>
          <w:color w:val="000000"/>
        </w:rPr>
        <w:t>[1968] EA 12</w:t>
      </w:r>
      <w:r w:rsidR="002F6D72">
        <w:t xml:space="preserve"> 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28"/>
    <w:rsid w:val="0021070D"/>
    <w:rsid w:val="002F6D72"/>
    <w:rsid w:val="00C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31BC0-253B-49B7-A650-AEA00A64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2018-07-04T13:53:00Z</dcterms:created>
  <dcterms:modified xsi:type="dcterms:W3CDTF">2018-07-12T18:29:00Z</dcterms:modified>
</cp:coreProperties>
</file>