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Kahia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Nganga</w:t>
      </w:r>
      <w:proofErr w:type="spellEnd"/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19 March 2004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16/01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Interest – Interest awarded at higher rate without pleading or proof – Whether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trial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 had properly determined the question of interest.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– Transfer – Consent of land control board not obtained – Purchaser moved into possession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but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subsequently evicted – Transfer void for all purposes – Whether purchaser entitled to recover his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purchase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price.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Limitation – Transfer of land – Claim for refund of purchase price – Purchaser entered into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possession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Contract void for all purposes – Purchaser subsequently evicted – Whether time begins to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run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from time of transfer or from time of eviction.</w:t>
      </w:r>
    </w:p>
    <w:p w:rsidR="00EB5456" w:rsidRDefault="003E7AF2" w:rsidP="003E7A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B5456" w:rsidRDefault="00EB5456" w:rsidP="003E7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>This is an appeal from the judgment of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(</w:t>
      </w:r>
      <w:proofErr w:type="spellStart"/>
      <w:r>
        <w:rPr>
          <w:rFonts w:ascii="Times New Roman" w:hAnsi="Times New Roman" w:cs="Times New Roman"/>
          <w:color w:val="000000"/>
        </w:rPr>
        <w:t>Rimita</w:t>
      </w:r>
      <w:proofErr w:type="spellEnd"/>
      <w:r>
        <w:rPr>
          <w:rFonts w:ascii="Times New Roman" w:hAnsi="Times New Roman" w:cs="Times New Roman"/>
          <w:color w:val="000000"/>
        </w:rPr>
        <w:t xml:space="preserve"> J) delivered on 7 June 2000 in which the Learned Judge gave judgment in favour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Respondent herein, Edward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Ng’ang’a</w:t>
      </w:r>
      <w:proofErr w:type="spellEnd"/>
      <w:r>
        <w:rPr>
          <w:rFonts w:ascii="Times New Roman" w:hAnsi="Times New Roman" w:cs="Times New Roman"/>
          <w:color w:val="000000"/>
        </w:rPr>
        <w:t xml:space="preserve"> (who was the Plaintiff in the superior court).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of the case appear fairly simple and straightforward. The Respondent entered into a land sale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 with one Rahab </w:t>
      </w:r>
      <w:proofErr w:type="spellStart"/>
      <w:r>
        <w:rPr>
          <w:rFonts w:ascii="Times New Roman" w:hAnsi="Times New Roman" w:cs="Times New Roman"/>
          <w:color w:val="000000"/>
        </w:rPr>
        <w:t>Waithera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 xml:space="preserve">, on 9 December 1986, in which it was agreed that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sell to the Respondent 100 acres out of land reference number </w:t>
      </w:r>
      <w:proofErr w:type="spellStart"/>
      <w:r>
        <w:rPr>
          <w:rFonts w:ascii="Times New Roman" w:hAnsi="Times New Roman" w:cs="Times New Roman"/>
          <w:color w:val="000000"/>
        </w:rPr>
        <w:t>Ol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Kalau</w:t>
      </w:r>
      <w:proofErr w:type="spellEnd"/>
      <w:r>
        <w:rPr>
          <w:rFonts w:ascii="Times New Roman" w:hAnsi="Times New Roman" w:cs="Times New Roman"/>
          <w:color w:val="000000"/>
        </w:rPr>
        <w:t xml:space="preserve"> 3777/25 at a consideration of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1,1 million.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made a down payment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600 000 and thereafter paid the balance by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instalments. According to the Respondent, the balance of the purchase price was paid by way of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instalments leaving a balance of only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4 000. That is why in the final judgment in the superior court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obtained judgment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1 096 000. It was however the Appellant’s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contention that the total amount paid by the Respondent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760 000.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being a first appeal we are bound to re-evaluate the evidence, assess it and make appropriate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conclusions about it, remembering that we have not seen or heard the witnesses and making due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allowance for this: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Associated Motor Boat Company Limited </w:t>
      </w:r>
      <w:r>
        <w:rPr>
          <w:rFonts w:ascii="Times New Roman" w:hAnsi="Times New Roman" w:cs="Times New Roman"/>
          <w:color w:val="000000"/>
        </w:rPr>
        <w:t xml:space="preserve">[1968] EA 123 and </w:t>
      </w:r>
      <w:r>
        <w:rPr>
          <w:rFonts w:ascii="Times New Roman" w:hAnsi="Times New Roman" w:cs="Times New Roman"/>
          <w:i/>
          <w:iCs/>
          <w:color w:val="000000"/>
        </w:rPr>
        <w:t>Williamson</w:t>
      </w:r>
      <w:r w:rsidR="003E7AF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Diamonds Limited v Brown </w:t>
      </w:r>
      <w:r>
        <w:rPr>
          <w:rFonts w:ascii="Times New Roman" w:hAnsi="Times New Roman" w:cs="Times New Roman"/>
          <w:color w:val="000000"/>
        </w:rPr>
        <w:t>[1970] EA 1.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purchase price the Respondent gave evidence, which was supported by relevant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to prove payment. We have carefully considered the evidence placed before the trial court and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abundantly clear that apart from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66 000 which was paid in cash all other payments were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effected by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. Hence, on the issue of purchase price we accept, as did the Learned Judge, that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paid a total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1 096 000,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This</w:t>
      </w:r>
      <w:proofErr w:type="gramEnd"/>
      <w:r>
        <w:rPr>
          <w:rFonts w:ascii="Times New Roman" w:hAnsi="Times New Roman" w:cs="Times New Roman"/>
          <w:color w:val="000000"/>
        </w:rPr>
        <w:t xml:space="preserve"> amount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1 096 000 which was paid as purchase price was paid to the seller of the land,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>. The Respondent took possession of the 100 acres some time in November 1988 and like a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serious purchaser of such agricultural land started to carry out developments, which included clearing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bushes, fencing it (to assert ownership), maintaining trees and construction of a dam. He brought in 52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head of cattle, 60 goats and 40 sheep. Up to that stage, the Respondent had become a proud owner of a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well developed</w:t>
      </w:r>
      <w:proofErr w:type="spellEnd"/>
      <w:r>
        <w:rPr>
          <w:rFonts w:ascii="Times New Roman" w:hAnsi="Times New Roman" w:cs="Times New Roman"/>
          <w:color w:val="000000"/>
        </w:rPr>
        <w:t xml:space="preserve"> farm of 100 acres but to complete the sale transaction the consent of the relevant Land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Board was necessary. The Respondent was ready and willing to go to the Land Control Board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 xml:space="preserve"> appeared to be somewhat reluctant as whenever she was asked to go to the Land Control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Board, she gave excuses.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Unfortunately,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 xml:space="preserve"> died on 5 October 1989 before the parties had appeared before the Land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Board for the necessary consent to the sale agreement. That was the beginning of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problems. The Appellant, Richard </w:t>
      </w:r>
      <w:proofErr w:type="spellStart"/>
      <w:r>
        <w:rPr>
          <w:rFonts w:ascii="Times New Roman" w:hAnsi="Times New Roman" w:cs="Times New Roman"/>
          <w:color w:val="000000"/>
        </w:rPr>
        <w:t>Kamiri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Gachue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 xml:space="preserve"> was appointed administrator of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mother’s (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Kahia’s</w:t>
      </w:r>
      <w:proofErr w:type="spellEnd"/>
      <w:r>
        <w:rPr>
          <w:rFonts w:ascii="Times New Roman" w:hAnsi="Times New Roman" w:cs="Times New Roman"/>
          <w:color w:val="000000"/>
        </w:rPr>
        <w:t xml:space="preserve">) estate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Certificate of Confirmation of a Grant issued on 30 November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1993. The death of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 xml:space="preserve"> and the coming of the Appellant into the picture brought more misery to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 The Appellant herein moved with speed and drove out the Respondent together with all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livestock and other belongings from the 100-acre land. The Respondent ran to the local District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but no assistance was forthcoming.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Respondent found that Provincial Administrator (District Officer </w:t>
      </w:r>
      <w:r>
        <w:rPr>
          <w:rFonts w:ascii="Times New Roman" w:hAnsi="Times New Roman" w:cs="Times New Roman"/>
          <w:color w:val="000000"/>
        </w:rPr>
        <w:lastRenderedPageBreak/>
        <w:t>or Chief) could not assist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 get back his land, he turned to the judiciary. That is when he filed a suit in the High Court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the following relief against the Appellant: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A permanent injunction to restrain the Defendant from interfering with the Plaintiff’s possession of his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portion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land number 3777/25.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(b) An order that the Defendant transfer the said land to the Plaintiff.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(c) In the alternative and without prejudice to the prayers (a) and (b) the Defendant be ordered to pay the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Plaintiff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( 1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6 068 5000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5 000 per day for 20 November 1994 until this case is heard and determined.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(d) Costs of the case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(e) Interest on (c) and (d) from the date of filing this suit until payment in full.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 )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other or alternative relief”.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the Respondent filed the plaint seeking the above stated relief, he also filed a chamber summons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application under Order XXXIX, rules 1, 2, 3, 7 and 9 of the Civil Procedure Rules in which he sought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following restraining orders: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 …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That the Defendant be restrained from chasing away, evicting, entering on in any way whatsoever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interfering with the Plaintiff’s possession of the Plaintiff’s portion of the land known as Land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Reference 3777/25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Kalou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until this suit is heard and determined.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That the Defendant be restrained from keeping the Plaintiff’s livestock and employees away from the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That the Defendant be condemned with the costs of this application”.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chamber summons application was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in the end the Respondent’s misery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increased as his application was dismissed with costs. His only hope was fastened on the main suit.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conclusion of the main suit, the Respondent had reason to smile as judgment was given in his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although his success could not be described as total since he did not get his 100 acres back but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the purchase price. In his judgment the Learned Judge concluded thus: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therefore find that the Defendant was properly sued as a legal representative of his mother, Rahab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Waithera</w:t>
      </w:r>
      <w:proofErr w:type="spellEnd"/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Kahia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E7AF2" w:rsidRDefault="00EB5456" w:rsidP="003E7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He is therefore bound to refund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1 096 000 to the Plaintiff.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Consequently, there will be judgment for Plaintiff against the Defendant for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1 096 000 with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 and interest.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circumstances I order that interest be paid at the rate of 25% per annum from the date of filing of the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suit.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Plaintiff will be allowed access to the land he had developed to carry away what he can possibly salvage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therefrom”.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Being aggrieved by that judgment the Appellant filed this appeal setting out seven grounds of appeal as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3E7AF2">
        <w:rPr>
          <w:rFonts w:ascii="Times New Roman" w:hAnsi="Times New Roman" w:cs="Times New Roman"/>
          <w:color w:val="000000"/>
        </w:rPr>
        <w:t xml:space="preserve"> </w:t>
      </w:r>
    </w:p>
    <w:p w:rsidR="00EB5456" w:rsidRDefault="00EB5456" w:rsidP="003E7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That the Learned trial Judge erred in his judgment by believing the Plaintiff’s evidence as against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Defendant.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trial Judge erred and/or misdirected himself in law and fact by failing to make a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finding that the Respondent/Plaintiff ‘s claim was based on a null and void transaction and that the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same was null and void for all purposes.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by failing to find that the claim by the Respondent/Plaintiff was affected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statute of the limitation of actions act there being sufficient evidence on record that the claim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time barred.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failed, contrary to the evidence on record, that the late (Rahab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Waithera</w:t>
      </w:r>
      <w:proofErr w:type="spellEnd"/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Kahia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had no sufficient capacity and or authority to enter into any contract of sale as alleged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concerning the property known as Land Reference number 3777/25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Kalou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both in fact and in law when he failed to make a finding that the Plaintiff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not proved his case, on a balance of probabilities as is required by the law.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both in fact and in law when he made a finding that the Defendant was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liable to pay the Plaintiff a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1 096 000 when the evidence on record was to the contrary.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both in law and fact when he entered judgment together with interest at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rate of 25% when the said rate had not been proved and/or properly pleaded”.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has asked us to set aside the judgment of the superior court and condemn the Respondent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pay the costs both in the superior court and in this Court.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appeal came before us for hearing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on 25 February 2004 when it was ably argued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Appellant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Ikua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Respondent.</w:t>
      </w:r>
    </w:p>
    <w:p w:rsidR="00EB5456" w:rsidRDefault="00EB5456" w:rsidP="003E7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It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that as there was no consent from the Land Control Board, the sale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 was null and void and hence there could be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relief awarded to the Respondent after the transaction had become void. He went on to argue that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money paid in the transaction was only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760 000 but this money is recoverable as a debt from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 to whom it was paid. The next strong point in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 was that even recovery of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760 000 was time-barred since the plaint was filed on 20 January 1995, which was more than six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years from the date of the agreement. Lastly,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took issue with the Judge’s order of 25% as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rate of interest.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rate of 25% had not been pleaded. In his view, there was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basis for the order of interest at 25%. For all these reasons,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asked us to set aside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the superior court.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opposing the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Ikua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started off by reminding us that the Appellant had admitted that 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administrator of the estate and that the parcel of land that the Respondent bought was part of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estate. He supported the decision of the Learned Judge in that the Respondent was entitled to recover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he had paid.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Ikua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suit in the High Court was essentially a case to recover a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piece of land and so the cause of action was within time.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ground of appeal relates to evidence adduced by the parties in the superior court. We have,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our own, considered the evidence in the superior court and the conclusion reached by the Learned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and we are of the view that there can be no merit in this ground. The same must fail.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ground of appeal faults the Learned Judge on the ground that he failed to find that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was based on a null and void transaction. There can be no dispute that the sale transaction required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consent of the Land Control Board and that in absence of the consent the agreement for sale became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void for all purposes. Indeed, the Learned Judge was alive to this fact when he stated thus in his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judgment: “Section 6 of the Land Control Act Chapter 302 is very precise. The Agreement for sale of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land between the Plaintiff and the deceased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 xml:space="preserve"> was void for all purposes”. In view of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foregoing, this ground (ground 2) clearly lacks merit. The same must accordingly fail.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ground was on the issue of the Limitation of Action Act. It was argued that the suit was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time-barred. From the evidence, the Respondent was driven out of the land in November 1994 and, in our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that is when time started to run. The plaint was filed on 20 January 1995. On this issue of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limitation, the Learned Judge in his judgment said: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find that under the circumstances of this case, the cause of action arose in 1993 when the Plaintiff was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chased away from the land. He could not and would not have had cause to claim the refund before he was told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he was not to get any land from the Defendant and his family. I find the claim is not time barred”.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are in agreement with the Learned Judge’s observation and hence it follows that the third ground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fail.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fourth ground of appeal related to the issue of whether the late Rahab </w:t>
      </w:r>
      <w:proofErr w:type="spellStart"/>
      <w:r>
        <w:rPr>
          <w:rFonts w:ascii="Times New Roman" w:hAnsi="Times New Roman" w:cs="Times New Roman"/>
          <w:color w:val="000000"/>
        </w:rPr>
        <w:t>Waithera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 xml:space="preserve"> had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capacity and authority to enter into any contract of sale concerning the land in dispute. Since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sale agreement was declared null and void, the question of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Kahia</w:t>
      </w:r>
      <w:proofErr w:type="spellEnd"/>
      <w:r>
        <w:rPr>
          <w:rFonts w:ascii="Times New Roman" w:hAnsi="Times New Roman" w:cs="Times New Roman"/>
          <w:color w:val="000000"/>
        </w:rPr>
        <w:t xml:space="preserve"> having capacity and/or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to enter into such a sale agreement does not arise. We see no merit in this ground of appeal and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must therefore fail.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fifth ground of appeal related to the finding of the Learned Judge as regards facts and the law.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already referred to the evidence adduced by the Respondent and we found that he gave clear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straightforward testimony of what took place. He was certainly a credible witness. The Learned trial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him to be so and we have no reason to differ from the finding of the Learned Judge. Hence, this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appeal must also fail.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sixth ground of appeal was to the effect that the Learned Judge was in error when he made a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finding that the Appellant was liable to pay to the Respondent 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1 096 000 when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on record was to the contrary. We are rather perplexed by this ground of appeal. We have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stated elsewhere in this judgment that the payment of the purchase price was made by way of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apart from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66 000 which was paid in cash. We have already upheld the Learned Judge’s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finding to the effect that the Respondent paid a total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1 096 000. Even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color w:val="000000"/>
        </w:rPr>
        <w:t>, in his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submission, conceded that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760 000 had been paid.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was, however, submitted that even if some money was paid the same couldn’t be recovered in view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provisions of the Land Control Act (Chapter 302 Laws of Kenya). It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could be no relief available to the Respondent after the transaction became void. That would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a correct statement but for section 7 of the Land Control Act, which provides: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any money or other valuable consideration has been paid in the course of a controlled transaction that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becomes void under this act, that money or consideration shall be recoverable as a debt by the person who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paid it from the person to whom it was paid, but without prejudice to section 22”.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Hence, while a party to a controlled transaction that has become void may recover any money or other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valuable </w:t>
      </w:r>
      <w:r>
        <w:rPr>
          <w:rFonts w:ascii="Times New Roman" w:hAnsi="Times New Roman" w:cs="Times New Roman"/>
          <w:color w:val="000000"/>
        </w:rPr>
        <w:lastRenderedPageBreak/>
        <w:t>consideration as a debt such party would not be entitled to recover compensation for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improvements. The Respondent in his filed plaint had claimed for compensation for improvements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carried out on the farm together with the cost of maintaining the animals on the </w:t>
      </w:r>
      <w:proofErr w:type="spellStart"/>
      <w:r>
        <w:rPr>
          <w:rFonts w:ascii="Times New Roman" w:hAnsi="Times New Roman" w:cs="Times New Roman"/>
          <w:color w:val="000000"/>
        </w:rPr>
        <w:t>neighbour’s</w:t>
      </w:r>
      <w:proofErr w:type="spellEnd"/>
      <w:r>
        <w:rPr>
          <w:rFonts w:ascii="Times New Roman" w:hAnsi="Times New Roman" w:cs="Times New Roman"/>
          <w:color w:val="000000"/>
        </w:rPr>
        <w:t xml:space="preserve"> land.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disallowed all these reliefs except what he found to have been money paid as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in the sale transaction. In our view, the Learned Judge was right in coming to that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conclusion. To fortify our conclusion we would refer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[1983] KLR 225 at page 227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which Law JA stated: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general or special damages are recoverable in respect of a transaction which is void for all purposes for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want of consent. The only remedy open to a party to a transaction, which has become void under the Act, is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he can recover any money or consideration paid in the course of the transaction under section 7 of the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Act. See also the decision of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Cheboo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Gimunyigei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[1978] LLR 4079 (CAK) in which a majority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this Court disagreed with the view expressed by Madan JA that compensation for improvements was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recoverable in addition to the money or other consideration paid in the course of a transaction, which had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become void under the Act. Had the Act so intended, it would have so provided. See also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Karuri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Gituru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</w:t>
      </w:r>
      <w:r w:rsidR="003E7AF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others </w:t>
      </w:r>
      <w:r>
        <w:rPr>
          <w:rFonts w:ascii="Times New Roman" w:hAnsi="Times New Roman" w:cs="Times New Roman"/>
          <w:color w:val="000000"/>
          <w:sz w:val="20"/>
          <w:szCs w:val="20"/>
        </w:rPr>
        <w:t>[1980] LLR 2218 (CAK) which is to the same effect”.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foregoing, we are satisfied that the Learned Judge was right in granting the Respondent’s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for recovery of the purchase price that he had paid in the transaction that became null and void by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Land Control Act. It follows that the sixth ground must fail.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we come to the seventh ground, which is in respect of rate of interest awarded by the Learned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Judge. We were told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Ikua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Learned Judge was right in allowing interest rate at 25%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that was within his discretion. But nowhere in the plaint did the Plaintiff (the Respondent herein)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 that rate of interest. In such circumstances, the rate of interest would be at court rates. In </w:t>
      </w:r>
      <w:r>
        <w:rPr>
          <w:rFonts w:ascii="Times New Roman" w:hAnsi="Times New Roman" w:cs="Times New Roman"/>
          <w:i/>
          <w:iCs/>
          <w:color w:val="000000"/>
        </w:rPr>
        <w:t>Kenya</w:t>
      </w:r>
      <w:r w:rsidR="003E7AF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Commercial Bank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Mbaluka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[1997] LLR 638 (CAK) this Court stated: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Gandy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Caspair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[1956] EACA 139 it was held that to decide against a party on matters which do not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come within the issues on which the parties want a decision on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would clearly amount to an error apparent on the face of the record. And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Nkalubo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Kibirige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[1973] EA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102 Spry VP, while commenting on the general statement 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Odd Jobs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Mubia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[1970] EA 476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a trial court may frame issues on a pint that is not covered by the pleadings but arises from the facts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stated; said as follows: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‘I accept that as a general statement but I do not think it can be invoked to allow the introduction of what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amounts to a new cause of action.’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trial judge by raising and determining the suit on an issue, which was neither pleaded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evidence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adduced on thereby introduced a new cause of action against the Appellant. He clearly went astray and his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cannot be left to stand on that account”.</w:t>
      </w:r>
      <w:r w:rsidR="003E7A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would express ourselves in a similar way as regards the 25% rate of interest ordered by the Learned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since the Plaintiff neither pleaded the 25% interest rate nor led evidence to prove it. We are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satisfied that the Appellant must succeed on that ground. With that we come to the end of this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transaction, which started way back in 1986 at the shop of the Respondent along River Road in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Nairobi. It is also the end of this appeal.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has succeeded on the last ground of appeal and hence the order on interest at the rate of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25% is set aside and substituted with an order of interest at court rates, which shall be 12% on the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principal amount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1 096 000 and 14% on costs of the suit. Hence this appeal succeeds only to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limited extent. The Appellant, unmeritorious as he may be, is entitled to some costs, as he has been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partially successful.</w:t>
      </w:r>
      <w:r w:rsidR="003E7AF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therefore order that the Appellant be awarded a third of the costs of this appeal.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CN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EB5456" w:rsidRDefault="00EB5456" w:rsidP="00EB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EB5456" w:rsidP="00EB5456">
      <w:r>
        <w:rPr>
          <w:rFonts w:ascii="Times New Roman" w:hAnsi="Times New Roman" w:cs="Times New Roman"/>
          <w:color w:val="000000"/>
        </w:rPr>
        <w:t xml:space="preserve">DN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Ikua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Ikua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56"/>
    <w:rsid w:val="0021070D"/>
    <w:rsid w:val="003E7AF2"/>
    <w:rsid w:val="00E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242BA-D721-425B-9A7E-DD768922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2018-07-04T13:54:00Z</dcterms:created>
  <dcterms:modified xsi:type="dcterms:W3CDTF">2018-07-12T18:33:00Z</dcterms:modified>
</cp:coreProperties>
</file>