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Kamore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Kamore</w:t>
      </w:r>
      <w:proofErr w:type="spellEnd"/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March 2000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63/98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Family law – Matrimonial property – Function of the court in application brought under a section 17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application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Jointly held properties – Whether presumption of advancement applies – Properties held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solely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by husband – Whether there was evidence of contribution by wife – Whether trust can be implied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circumstances – Whether court can transfer proprietary interest from one spouse to another –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Section 17 – Married Women’s Property Act.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review – Natural justice – Failure to cross-examine wife on an application for determination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proprietary interest – Advocate instructed not to cross-examine – Subsequent application to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cross-examine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refused – No appeal lodged against refusal – Whether the question of natural justice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could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 taken first during the appeal against the substantive orders.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F7CAC" w:rsidRDefault="004B2704" w:rsidP="002F7C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and Respondent cohabited as husband and wife from 1974 to 1981, after marriage at St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Andrews Church Nairobi. The marriage was blessed with three children, all boys. In 1981, the couple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ceased cohabiting. In March 1983, the wife filed for divorce and the decree </w:t>
      </w:r>
      <w:r>
        <w:rPr>
          <w:rFonts w:ascii="Times New Roman" w:hAnsi="Times New Roman" w:cs="Times New Roman"/>
          <w:i/>
          <w:iCs/>
          <w:color w:val="000000"/>
        </w:rPr>
        <w:t xml:space="preserve">nisi </w:t>
      </w:r>
      <w:r>
        <w:rPr>
          <w:rFonts w:ascii="Times New Roman" w:hAnsi="Times New Roman" w:cs="Times New Roman"/>
          <w:color w:val="000000"/>
        </w:rPr>
        <w:t>was obtained in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September 1983. The wife filed an originating summons in October 1983 praying for her share in some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 properties acquired during coverture. Two of these properties were in the joint names of the spouses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were in the possession of the husband. The other two properties had been in the name and sole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the husband, although one of them had since been sold. The wife claimed beneficial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to half shares in the four properties.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the hearing of the evidence, after a number of adjournments, the Court refused to allow an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adjournment prayed for by the advocate holding brief for the husband’s instructed advocate. The Court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proceeded to hear the wife’s case. The advocate holding brief for the husband did not cross-examine the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wife, purportedly on instructions. After close of the wife’s case, the Court set a date for submissions. The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instructed advocate, who had not been in court during the hearing, applied to have the orders of the Judge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aside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the advocate holding brief had not acted according to instructions. This application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dismissed but no appeal was filed against the dismissal.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made orders that the four properties be sold and the wife receive a half share of the net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proceeds from the sale on the ground that she was entitled thereto. The husband lodged this appeal. The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owned the first two properties jointly. The third property was acquired in May 1983 and sold to a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party on the same day. The fourth property was acquired in July 1983 and charged to another party.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further charge was created in 1990 in respect of this property. The appeal court had to determine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wife had contributed to the acquisition of these properties which were acquired after the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cessation of cohabitation. The husband also argued the ground that there had been failure of natural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since he had not been availed an opportunity to cross-examine the wife or produce evidence in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rebuttal.</w:t>
      </w:r>
      <w:r w:rsidR="002F7CAC">
        <w:rPr>
          <w:rFonts w:ascii="Times New Roman" w:hAnsi="Times New Roman" w:cs="Times New Roman"/>
          <w:color w:val="000000"/>
        </w:rPr>
        <w:t xml:space="preserve"> </w:t>
      </w:r>
    </w:p>
    <w:p w:rsidR="002F7CAC" w:rsidRDefault="002F7CAC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B2704" w:rsidRDefault="004B2704" w:rsidP="002F7C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It is too late in the day to argue the issue of natural justice during the proceedings. In any case the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 was fully justified in refusing to grant any further indulgence to the Appellant or his advocate,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the course of events. The Appellant chose his counsel and must bear the consequences.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a property is acquired during the course of coverture and is registered in the joint names of both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spouses the court in normal circumstances must take it that such property, being a family asset, is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acquired in equal shares. The trial Judge was therefore right in finding that the first two properties were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jointly owned.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will not make a finding of presumption of advancement or presumption of a resulting trust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favour of the wife without evidence of the express or implied intention of the donor or settlor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Ayoub</w:t>
      </w:r>
      <w:proofErr w:type="spellEnd"/>
      <w:r w:rsidR="002F7CA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others v Standard Bank of South Africa Ltd and another </w:t>
      </w:r>
      <w:r>
        <w:rPr>
          <w:rFonts w:ascii="Times New Roman" w:hAnsi="Times New Roman" w:cs="Times New Roman"/>
          <w:color w:val="000000"/>
        </w:rPr>
        <w:t>[1963] EA 619 followed. In regard to the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property, there was no evidence of any implied or resulting trust in favour of the wife.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relation to the fourth </w:t>
      </w:r>
      <w:r>
        <w:rPr>
          <w:rFonts w:ascii="Times New Roman" w:hAnsi="Times New Roman" w:cs="Times New Roman"/>
          <w:color w:val="000000"/>
        </w:rPr>
        <w:lastRenderedPageBreak/>
        <w:t>property, there was no evidence of contribution by the wife. The property was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acquired two years after coverture and she had not satisfied the burden of proof to show that her husband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holding a share of the property in trust for her.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under an application in terms of section 17 of the Married Women’s Property Act has no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power to pass proprietary interest from one spouse to another.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Pettitt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Pettitt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[1969] 2 All ER 385,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Gissing v Gissing </w:t>
      </w:r>
      <w:r>
        <w:rPr>
          <w:rFonts w:ascii="Times New Roman" w:hAnsi="Times New Roman" w:cs="Times New Roman"/>
          <w:color w:val="000000"/>
        </w:rPr>
        <w:t xml:space="preserve">[1971] AC 888 adopted; dictum of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 JA in </w:t>
      </w:r>
      <w:r>
        <w:rPr>
          <w:rFonts w:ascii="Times New Roman" w:hAnsi="Times New Roman" w:cs="Times New Roman"/>
          <w:i/>
          <w:iCs/>
          <w:color w:val="000000"/>
        </w:rPr>
        <w:t xml:space="preserve">Kimani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[1997] LLR 553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(CAK) approved.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the trial court had found that there was a resulting trust in the properties held solely by the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husband, it would have no power to order the proprietary interest to pass from one spouse to another. It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only order that the husband pay the wife an appropriate share of the value of the property after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market valuation by a reputable </w:t>
      </w:r>
      <w:proofErr w:type="spellStart"/>
      <w:r>
        <w:rPr>
          <w:rFonts w:ascii="Times New Roman" w:hAnsi="Times New Roman" w:cs="Times New Roman"/>
          <w:color w:val="000000"/>
        </w:rPr>
        <w:t>valuer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the first two jointly-held properties, the Court would take into consideration that the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husband had been in sole possession of the same since 1983 when the litigation began. To compensate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wife for loss of user, she would be given 60% share of both properties, the properties to be valued by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independent </w:t>
      </w:r>
      <w:proofErr w:type="spellStart"/>
      <w:r>
        <w:rPr>
          <w:rFonts w:ascii="Times New Roman" w:hAnsi="Times New Roman" w:cs="Times New Roman"/>
          <w:color w:val="000000"/>
        </w:rPr>
        <w:t>valuer</w:t>
      </w:r>
      <w:proofErr w:type="spellEnd"/>
      <w:r>
        <w:rPr>
          <w:rFonts w:ascii="Times New Roman" w:hAnsi="Times New Roman" w:cs="Times New Roman"/>
          <w:color w:val="000000"/>
        </w:rPr>
        <w:t xml:space="preserve"> and each party to have the liberty to buy out the share of the other party.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>: In England the Matrimonial Homes Act 1967, later replaced by the Matrimonial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and Property Act 1970, and the Matrimonial Causes Act 1973 were enacted as a response to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decisions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Pettitt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Pettitt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</w:rPr>
        <w:t xml:space="preserve">Gissing v Gissing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However, in Kenya, until such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that some law is enacted to give proprietary rights to spouses as distinct from registered title rights,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17 of the Married Women’s Property Act must be given the same interpretation as in the said two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Gissing v Gissing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opened a way to seek relevant relief by pleading trusts, express, implied or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resulting. Such a claim can be brought by way of a declaratory suit.</w:t>
      </w:r>
      <w:r w:rsidR="002F7CA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 in part.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Ayoub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Standard Bank of South Africa Ltd </w:t>
      </w:r>
      <w:r>
        <w:rPr>
          <w:rFonts w:ascii="Times New Roman" w:hAnsi="Times New Roman" w:cs="Times New Roman"/>
          <w:color w:val="000000"/>
        </w:rPr>
        <w:t>[1961] EA 743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Ayoub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Standard Bank of South Africa Ltd </w:t>
      </w:r>
      <w:r>
        <w:rPr>
          <w:rFonts w:ascii="Times New Roman" w:hAnsi="Times New Roman" w:cs="Times New Roman"/>
          <w:color w:val="000000"/>
        </w:rPr>
        <w:t xml:space="preserve">[1963] EA 619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Kimani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[1997] LLR 553 </w:t>
      </w:r>
      <w:r>
        <w:rPr>
          <w:rFonts w:ascii="Times New Roman" w:hAnsi="Times New Roman" w:cs="Times New Roman"/>
          <w:color w:val="000000"/>
        </w:rPr>
        <w:t xml:space="preserve">(CAK)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Gissing v Gissing </w:t>
      </w:r>
      <w:r>
        <w:rPr>
          <w:rFonts w:ascii="Times New Roman" w:hAnsi="Times New Roman" w:cs="Times New Roman"/>
          <w:color w:val="000000"/>
        </w:rPr>
        <w:t xml:space="preserve">[1971] AC 888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4B2704" w:rsidRDefault="004B2704" w:rsidP="004B2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Pettitt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Pettitt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[1969] 2 All ER 385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3F18BF" w:rsidRDefault="004B2704" w:rsidP="004B2704">
      <w:r>
        <w:rPr>
          <w:rFonts w:ascii="Times New Roman" w:hAnsi="Times New Roman" w:cs="Times New Roman"/>
          <w:i/>
          <w:iCs/>
          <w:color w:val="000000"/>
        </w:rPr>
        <w:t xml:space="preserve">Standing v Bowring (11) </w:t>
      </w:r>
      <w:r>
        <w:rPr>
          <w:rFonts w:ascii="Times New Roman" w:hAnsi="Times New Roman" w:cs="Times New Roman"/>
          <w:color w:val="000000"/>
        </w:rPr>
        <w:t>[1886] 31 CH D 282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04"/>
    <w:rsid w:val="002F7CAC"/>
    <w:rsid w:val="003F18BF"/>
    <w:rsid w:val="004B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2C1B0-6AB0-4175-8261-E6966DC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2018-07-05T11:34:00Z</dcterms:created>
  <dcterms:modified xsi:type="dcterms:W3CDTF">2018-07-12T18:36:00Z</dcterms:modified>
</cp:coreProperties>
</file>