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CBA" w:rsidRDefault="00361CBA" w:rsidP="0036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Kamore v Kamore</w:t>
      </w:r>
    </w:p>
    <w:p w:rsidR="00361CBA" w:rsidRDefault="00361CBA" w:rsidP="0036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361CBA" w:rsidRDefault="00361CBA" w:rsidP="0036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31 March 2000</w:t>
      </w:r>
    </w:p>
    <w:p w:rsidR="00361CBA" w:rsidRDefault="00361CBA" w:rsidP="0036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63/98</w:t>
      </w:r>
    </w:p>
    <w:p w:rsidR="00361CBA" w:rsidRDefault="00361CBA" w:rsidP="0036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Tunoi, Shah and Bosire JJA</w:t>
      </w:r>
    </w:p>
    <w:p w:rsidR="00361CBA" w:rsidRDefault="00361CBA" w:rsidP="0036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361CBA" w:rsidRDefault="00361CBA" w:rsidP="0036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C Kanjama</w:t>
      </w:r>
    </w:p>
    <w:p w:rsidR="00361CBA" w:rsidRDefault="00361CBA" w:rsidP="0036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Family law – Matrimonial property – Function of the court in application brought under a section 17</w:t>
      </w:r>
    </w:p>
    <w:p w:rsidR="00361CBA" w:rsidRDefault="00361CBA" w:rsidP="0036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application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Jointly held properties – Whether presumption of advancement applies – Properties held</w:t>
      </w:r>
    </w:p>
    <w:p w:rsidR="00361CBA" w:rsidRDefault="00361CBA" w:rsidP="0036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solely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by husband – Whether there was evidence of contribution by wife – Whether trust can be implied</w:t>
      </w:r>
    </w:p>
    <w:p w:rsidR="00361CBA" w:rsidRDefault="00361CBA" w:rsidP="0036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the circumstances – Whether court can transfer proprietary interest from one spouse to another –</w:t>
      </w:r>
    </w:p>
    <w:p w:rsidR="00361CBA" w:rsidRDefault="00361CBA" w:rsidP="0036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Section 17 – Married Women’s Property Act.</w:t>
      </w:r>
    </w:p>
    <w:p w:rsidR="00361CBA" w:rsidRDefault="00361CBA" w:rsidP="0036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Judicial review – Natural justice – Failure to cross-examine wife on an application for determination</w:t>
      </w:r>
    </w:p>
    <w:p w:rsidR="00361CBA" w:rsidRDefault="00361CBA" w:rsidP="0036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proprietary interest – Advocate instructed not to cross-examine – Subsequent application to</w:t>
      </w:r>
    </w:p>
    <w:p w:rsidR="00361CBA" w:rsidRDefault="00361CBA" w:rsidP="0036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cross-examine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refused – No appeal lodged against refusal – Whether the question of natural justice</w:t>
      </w:r>
    </w:p>
    <w:p w:rsidR="00361CBA" w:rsidRDefault="00361CBA" w:rsidP="0036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could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be taken first during the appeal against the substantive orders.</w:t>
      </w:r>
    </w:p>
    <w:p w:rsidR="00361CBA" w:rsidRDefault="00D2653B" w:rsidP="00D265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361CBA" w:rsidRDefault="00361CBA" w:rsidP="00D265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r>
        <w:rPr>
          <w:rFonts w:ascii="Times New Roman" w:hAnsi="Times New Roman" w:cs="Times New Roman"/>
          <w:b/>
          <w:bCs/>
          <w:color w:val="000000"/>
        </w:rPr>
        <w:t xml:space="preserve">TUNOI, SHAH AND BOSIRE JJA: </w:t>
      </w:r>
      <w:r>
        <w:rPr>
          <w:rFonts w:ascii="Times New Roman" w:hAnsi="Times New Roman" w:cs="Times New Roman"/>
          <w:color w:val="000000"/>
        </w:rPr>
        <w:t>This is an appeal from a decree of the superior court (Etyang J)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dated 11 December 1997 by which the Learned Judge made the following orders of and concerning four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properties in dispute between the parties: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The property registered LR Nairobi/Block 32/26 situated in Golf Course estate within Nairobi is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jointly owned by the Applicant and Respondent in equal shares. That property be sold and net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proceeds of sale be divided equally between the Applicant and Respondent.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T he property registered in LR Ngong/Ngong/3821 is jointly owned by the Applicant and Respondent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equal shares. The same be sold and the net proceeds of such sale be shared equally between both the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Applicant and the Respondent.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P roperty registered as Ngong/Ole Kesasi/35 in the name of Pentecostal Evangelistic Fellowship of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Africa had been the joint property of the Applicant and Respondent. The Applicant is entitled to half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share of the proceeds of sale of this property which is to be paid to her forthwith.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4. T he property LR 19040 being LR 1160/211 original number 1160/155/20 as more particularly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described in certificate of title exhibit 19 was the joint property of the Applicant and the Respondent in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equal shares and the same be sold and net proceeds hereof be shared equally between the Applicant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Respondent”.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is aggrieved by these orders and hence this appeal.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proceedings in the superior court were begun by an originating summons without setting out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or rules of procedure under which the said originating summons was brought. The originating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 application sought orders substantially as were made by the Learned Judge.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first three grounds of appeal argued by Mr </w:t>
      </w:r>
      <w:r>
        <w:rPr>
          <w:rFonts w:ascii="Times New Roman" w:hAnsi="Times New Roman" w:cs="Times New Roman"/>
          <w:i/>
          <w:iCs/>
          <w:color w:val="000000"/>
        </w:rPr>
        <w:t xml:space="preserve">Ngatia </w:t>
      </w:r>
      <w:r>
        <w:rPr>
          <w:rFonts w:ascii="Times New Roman" w:hAnsi="Times New Roman" w:cs="Times New Roman"/>
          <w:color w:val="000000"/>
        </w:rPr>
        <w:t xml:space="preserve">who led Mr </w:t>
      </w:r>
      <w:r>
        <w:rPr>
          <w:rFonts w:ascii="Times New Roman" w:hAnsi="Times New Roman" w:cs="Times New Roman"/>
          <w:i/>
          <w:iCs/>
          <w:color w:val="000000"/>
        </w:rPr>
        <w:t xml:space="preserve">Oduol </w:t>
      </w:r>
      <w:r>
        <w:rPr>
          <w:rFonts w:ascii="Times New Roman" w:hAnsi="Times New Roman" w:cs="Times New Roman"/>
          <w:color w:val="000000"/>
        </w:rPr>
        <w:t>at the hearing of this appeal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as follows: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Learned trial Judge erred in the circumstances of the case in proceeding to write a judgment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without according the Appellant an opportunity to put forward his defence contrary to the rules of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natural justice.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 That the Learned trial Judge erred in the proceeding on the basis that the Applicant did not examine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First Respondent and that the Appellant did not avail himself to give oral evidence.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 That the Learned trial Judge erred in proceeding on the basis that the Appellant was given no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opportunity to cross-examine the First Respondent but declined to do so”.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will deal, first, with the said three grounds of appeal which were argued together by Mr </w:t>
      </w:r>
      <w:r>
        <w:rPr>
          <w:rFonts w:ascii="Times New Roman" w:hAnsi="Times New Roman" w:cs="Times New Roman"/>
          <w:i/>
          <w:iCs/>
          <w:color w:val="000000"/>
        </w:rPr>
        <w:t>Ngatia</w:t>
      </w:r>
      <w:r>
        <w:rPr>
          <w:rFonts w:ascii="Times New Roman" w:hAnsi="Times New Roman" w:cs="Times New Roman"/>
          <w:color w:val="000000"/>
        </w:rPr>
        <w:t>.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 shows that on 15 November 1996 the superior court made the following order: “It is the intention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court to proceed with the substantive hearing of this cause. The two applications will be heard and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determined at an appropriate stage in the proceedings. Hearing of the main cause to proceed”.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that stage Miss </w:t>
      </w:r>
      <w:r>
        <w:rPr>
          <w:rFonts w:ascii="Times New Roman" w:hAnsi="Times New Roman" w:cs="Times New Roman"/>
          <w:i/>
          <w:iCs/>
          <w:color w:val="000000"/>
        </w:rPr>
        <w:t xml:space="preserve">Kamango </w:t>
      </w:r>
      <w:r>
        <w:rPr>
          <w:rFonts w:ascii="Times New Roman" w:hAnsi="Times New Roman" w:cs="Times New Roman"/>
          <w:color w:val="000000"/>
        </w:rPr>
        <w:t xml:space="preserve">holding brief for Mr </w:t>
      </w:r>
      <w:r>
        <w:rPr>
          <w:rFonts w:ascii="Times New Roman" w:hAnsi="Times New Roman" w:cs="Times New Roman"/>
          <w:i/>
          <w:iCs/>
          <w:color w:val="000000"/>
        </w:rPr>
        <w:t xml:space="preserve">Mukuria </w:t>
      </w:r>
      <w:r>
        <w:rPr>
          <w:rFonts w:ascii="Times New Roman" w:hAnsi="Times New Roman" w:cs="Times New Roman"/>
          <w:color w:val="000000"/>
        </w:rPr>
        <w:t>for the present Appellant asked for a short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adjournment to inform Mr </w:t>
      </w:r>
      <w:r>
        <w:rPr>
          <w:rFonts w:ascii="Times New Roman" w:hAnsi="Times New Roman" w:cs="Times New Roman"/>
          <w:i/>
          <w:iCs/>
          <w:color w:val="000000"/>
        </w:rPr>
        <w:t xml:space="preserve">Mukuria </w:t>
      </w:r>
      <w:r>
        <w:rPr>
          <w:rFonts w:ascii="Times New Roman" w:hAnsi="Times New Roman" w:cs="Times New Roman"/>
          <w:color w:val="000000"/>
        </w:rPr>
        <w:t>to come and cross-examine the Respondent. The superior court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granted the adjournment as sought. At 11.30am on the same day when the court re-convened for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hearing Miss </w:t>
      </w:r>
      <w:r>
        <w:rPr>
          <w:rFonts w:ascii="Times New Roman" w:hAnsi="Times New Roman" w:cs="Times New Roman"/>
          <w:i/>
          <w:iCs/>
          <w:color w:val="000000"/>
        </w:rPr>
        <w:t xml:space="preserve">Kamango </w:t>
      </w:r>
      <w:r>
        <w:rPr>
          <w:rFonts w:ascii="Times New Roman" w:hAnsi="Times New Roman" w:cs="Times New Roman"/>
          <w:color w:val="000000"/>
        </w:rPr>
        <w:t xml:space="preserve">informed the court that she was unable to contact Mr </w:t>
      </w:r>
      <w:r>
        <w:rPr>
          <w:rFonts w:ascii="Times New Roman" w:hAnsi="Times New Roman" w:cs="Times New Roman"/>
          <w:i/>
          <w:iCs/>
          <w:color w:val="000000"/>
        </w:rPr>
        <w:t xml:space="preserve">Mukuria </w:t>
      </w:r>
      <w:r>
        <w:rPr>
          <w:rFonts w:ascii="Times New Roman" w:hAnsi="Times New Roman" w:cs="Times New Roman"/>
          <w:color w:val="000000"/>
        </w:rPr>
        <w:t>and that she was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herself not in a position to proceed with the hearing of the main cause. She applied for an adjournment.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Miss </w:t>
      </w:r>
      <w:r>
        <w:rPr>
          <w:rFonts w:ascii="Times New Roman" w:hAnsi="Times New Roman" w:cs="Times New Roman"/>
          <w:i/>
          <w:iCs/>
          <w:color w:val="000000"/>
        </w:rPr>
        <w:t>Karua</w:t>
      </w:r>
      <w:r>
        <w:rPr>
          <w:rFonts w:ascii="Times New Roman" w:hAnsi="Times New Roman" w:cs="Times New Roman"/>
          <w:color w:val="000000"/>
        </w:rPr>
        <w:t>, for the Respondent, opposed that application. Etyang J granted the adjournment directing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Respondent’s case was to proceed to hearing next time with or without the presence of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advocate. The hearing of originating summons was then, by agreement of counsel, set for 16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December 1996.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16 December 1996 the parties and their counsel assembled in court when Mr </w:t>
      </w:r>
      <w:r>
        <w:rPr>
          <w:rFonts w:ascii="Times New Roman" w:hAnsi="Times New Roman" w:cs="Times New Roman"/>
          <w:i/>
          <w:iCs/>
          <w:color w:val="000000"/>
        </w:rPr>
        <w:t xml:space="preserve">Muia </w:t>
      </w:r>
      <w:r>
        <w:rPr>
          <w:rFonts w:ascii="Times New Roman" w:hAnsi="Times New Roman" w:cs="Times New Roman"/>
          <w:color w:val="000000"/>
        </w:rPr>
        <w:t>appeared for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Miss Jane </w:t>
      </w:r>
      <w:r>
        <w:rPr>
          <w:rFonts w:ascii="Times New Roman" w:hAnsi="Times New Roman" w:cs="Times New Roman"/>
          <w:i/>
          <w:iCs/>
          <w:color w:val="000000"/>
        </w:rPr>
        <w:t xml:space="preserve">Mburu </w:t>
      </w:r>
      <w:r>
        <w:rPr>
          <w:rFonts w:ascii="Times New Roman" w:hAnsi="Times New Roman" w:cs="Times New Roman"/>
          <w:color w:val="000000"/>
        </w:rPr>
        <w:t xml:space="preserve">for the interested party. The Learned Judge then ordered that </w:t>
      </w:r>
      <w:r>
        <w:rPr>
          <w:rFonts w:ascii="Times New Roman" w:hAnsi="Times New Roman" w:cs="Times New Roman"/>
          <w:color w:val="000000"/>
        </w:rPr>
        <w:lastRenderedPageBreak/>
        <w:t>the application for leave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withdraw (cease acting) be served on the interested party and stood over generally the hearing of that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Miss </w:t>
      </w:r>
      <w:r>
        <w:rPr>
          <w:rFonts w:ascii="Times New Roman" w:hAnsi="Times New Roman" w:cs="Times New Roman"/>
          <w:i/>
          <w:iCs/>
          <w:color w:val="000000"/>
        </w:rPr>
        <w:t xml:space="preserve">Karua </w:t>
      </w:r>
      <w:r>
        <w:rPr>
          <w:rFonts w:ascii="Times New Roman" w:hAnsi="Times New Roman" w:cs="Times New Roman"/>
          <w:color w:val="000000"/>
        </w:rPr>
        <w:t xml:space="preserve">pointed out to the Court that she was ready to proceed. Miss </w:t>
      </w:r>
      <w:r>
        <w:rPr>
          <w:rFonts w:ascii="Times New Roman" w:hAnsi="Times New Roman" w:cs="Times New Roman"/>
          <w:i/>
          <w:iCs/>
          <w:color w:val="000000"/>
        </w:rPr>
        <w:t xml:space="preserve">Kamango </w:t>
      </w:r>
      <w:r>
        <w:rPr>
          <w:rFonts w:ascii="Times New Roman" w:hAnsi="Times New Roman" w:cs="Times New Roman"/>
          <w:color w:val="000000"/>
        </w:rPr>
        <w:t>however was not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ready and informed the Court that the Appellant wanted Mr </w:t>
      </w:r>
      <w:r>
        <w:rPr>
          <w:rFonts w:ascii="Times New Roman" w:hAnsi="Times New Roman" w:cs="Times New Roman"/>
          <w:i/>
          <w:iCs/>
          <w:color w:val="000000"/>
        </w:rPr>
        <w:t xml:space="preserve">Mukuria </w:t>
      </w:r>
      <w:r>
        <w:rPr>
          <w:rFonts w:ascii="Times New Roman" w:hAnsi="Times New Roman" w:cs="Times New Roman"/>
          <w:color w:val="000000"/>
        </w:rPr>
        <w:t>to personally conduct the hearing.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not in court.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rejected this further application for adjournment and directed that the suit do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 to hearing immediately. He so ruled at 4:00pm on 16 December 1996.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Miss </w:t>
      </w:r>
      <w:r>
        <w:rPr>
          <w:rFonts w:ascii="Times New Roman" w:hAnsi="Times New Roman" w:cs="Times New Roman"/>
          <w:i/>
          <w:iCs/>
          <w:color w:val="000000"/>
        </w:rPr>
        <w:t xml:space="preserve">Kamango </w:t>
      </w:r>
      <w:r>
        <w:rPr>
          <w:rFonts w:ascii="Times New Roman" w:hAnsi="Times New Roman" w:cs="Times New Roman"/>
          <w:color w:val="000000"/>
        </w:rPr>
        <w:t>informed the Learned Judge that she was instructed by the Appellant not to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cross-examine the Respondent. Therefore Miss </w:t>
      </w:r>
      <w:r>
        <w:rPr>
          <w:rFonts w:ascii="Times New Roman" w:hAnsi="Times New Roman" w:cs="Times New Roman"/>
          <w:i/>
          <w:iCs/>
          <w:color w:val="000000"/>
        </w:rPr>
        <w:t xml:space="preserve">Karua </w:t>
      </w:r>
      <w:r>
        <w:rPr>
          <w:rFonts w:ascii="Times New Roman" w:hAnsi="Times New Roman" w:cs="Times New Roman"/>
          <w:color w:val="000000"/>
        </w:rPr>
        <w:t>closed her client’s case and the Learned Judge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called for written submissions which were to be filed by 20 January 1997. The Respondent’s counsel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handed in her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submissions on 20 January 1997. At that stage Mr </w:t>
      </w:r>
      <w:r>
        <w:rPr>
          <w:rFonts w:ascii="Times New Roman" w:hAnsi="Times New Roman" w:cs="Times New Roman"/>
          <w:i/>
          <w:iCs/>
          <w:color w:val="000000"/>
        </w:rPr>
        <w:t xml:space="preserve">Mukuria </w:t>
      </w:r>
      <w:r>
        <w:rPr>
          <w:rFonts w:ascii="Times New Roman" w:hAnsi="Times New Roman" w:cs="Times New Roman"/>
          <w:color w:val="000000"/>
        </w:rPr>
        <w:t>was present in court and sought leave to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cross-examine the Respondent, saying that Miss </w:t>
      </w:r>
      <w:r>
        <w:rPr>
          <w:rFonts w:ascii="Times New Roman" w:hAnsi="Times New Roman" w:cs="Times New Roman"/>
          <w:i/>
          <w:iCs/>
          <w:color w:val="000000"/>
        </w:rPr>
        <w:t xml:space="preserve">Kamango </w:t>
      </w:r>
      <w:r>
        <w:rPr>
          <w:rFonts w:ascii="Times New Roman" w:hAnsi="Times New Roman" w:cs="Times New Roman"/>
          <w:color w:val="000000"/>
        </w:rPr>
        <w:t>had no instructions to say what she told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earlier. The Learned Judge after considering the sequence of events gave the Appellant two weeks’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to file a formal application to have the Learned Judge’s orders of 16 December 1996 set aside or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varied. Such an application indeed was filed but was dismissed after the Learned Judge had once again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the sequence of earlier events. Although Mr Mukuria obtained leave to appeal against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Judge’s refusal to set aside or vary the orders of 16 December 1996 no such appeal was lodged.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our view it is too late in the day, now, to argue the first three grounds of appeal and in any case we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say that the Learned Judge was fully justified in refusing to grant any further indulgence to the Appellant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his advocate. On the contrary, the Learned Judge went out of his way, to accommodate the escapades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Appellant’s counsel Miss </w:t>
      </w:r>
      <w:r>
        <w:rPr>
          <w:rFonts w:ascii="Times New Roman" w:hAnsi="Times New Roman" w:cs="Times New Roman"/>
          <w:i/>
          <w:iCs/>
          <w:color w:val="000000"/>
        </w:rPr>
        <w:t>Kamango</w:t>
      </w:r>
      <w:r>
        <w:rPr>
          <w:rFonts w:ascii="Times New Roman" w:hAnsi="Times New Roman" w:cs="Times New Roman"/>
          <w:color w:val="000000"/>
        </w:rPr>
        <w:t>. We have already set out the sequence events leading up to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Judge’s refusal to vary the orders of 16 December 1996. The Learned Judge’s patience was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obviously exhausted and correctly so. We cannot fault the Learned Judge on that issue at all and we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reject the first three grounds of appeal and we must express our disgust towards the attitude of counsel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the conduct of the defence of the Appellant. The Appellant chose his counsel then and must bear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consequences.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Eventually the hearing of the originating summons in the superior court revolved around four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properties afore-mentioned. Claims in respect of movable properties referred to in what was described as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schedule “S” were abandoned by the Respondent. She also abandoned the claim to her alleged share in a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motor vehicle registration number KPZ 722. The four properties in question were described in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originating summons as: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Property registration number LR Nairobi/Block 32/36, situate in the Golf Course Estate in Nairobi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admittedly jointly owned by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spouses, 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the Appellant and the Respondent.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P roperty registration number Ngong/Ngong/3821 admittedly jointly owned by the spouses.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P roperty known as Ngong/Ole Kesasi/35 which in reality turned out to be Ngong/Ole Kesasi/37.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4. P roperty known as LR number 1160/211”.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third of the above-mentioned properties was registered in the name of the Appellant on 16 May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1983. According to the title document the Appellant acquired the same from one Joseph Karimi Mbiriri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 consideration of KShs 80 000 and on the same day sold it to Pentecostal Evangelistic Fellowship of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Africa for a sum of KShs 140 000 which church is the present registered proprietor of the said property.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fourth of the above-mentioned properties was acquired by the Appellant, according to entry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nine on the certificate of title, for KShs 840 000 on 12 July 1983 and on the same day he charged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 to British American Insurance Company (Kenya) Limited for securing a loan of KShs 651 498.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13 March 1990 the Appellant created a further charge in favour of the said insurance company for a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loan of KShs 600 000.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common ground that the Appellant and the Respondent cohabited together as husband and wife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25 May 1974 until 1981. They were married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St Andrew’s Church, Nairobi. The couple was blessed with three children (all boys) namely Hilary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Mwangi, born on 14 January 1975, Duncan Nduracha born on 28 December 1978 and Peter Macharia,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born on 1 March 1980. After cessation of cohabitation in 1981, the Respondent filed for divorce on 1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March 1982 and a decree </w:t>
      </w:r>
      <w:r>
        <w:rPr>
          <w:rFonts w:ascii="Times New Roman" w:hAnsi="Times New Roman" w:cs="Times New Roman"/>
          <w:i/>
          <w:iCs/>
          <w:color w:val="000000"/>
        </w:rPr>
        <w:t xml:space="preserve">nisi </w:t>
      </w:r>
      <w:r>
        <w:rPr>
          <w:rFonts w:ascii="Times New Roman" w:hAnsi="Times New Roman" w:cs="Times New Roman"/>
          <w:color w:val="000000"/>
        </w:rPr>
        <w:t>of divorce was granted on 23 September 1983. The decree had not been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absolute by the time the originating summons was filed on 14 October 1983.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come to the format of the originating summons proceedings lodged by the Respondent. As pointed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earlier by us the originating summons fails to show under what provision of the law or procedure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was brought. It can be seen however that it was based on section 17 of the Married Women’s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Act of 1882 of England (“the Act”). Reliance was also placed on the application of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presumption of resulting trust and the presumption of advancement to transactions between husband and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wife.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a property is acquired during the course of coverture and is registered in the joint names of both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spouses the court in </w:t>
      </w:r>
      <w:r>
        <w:rPr>
          <w:rFonts w:ascii="Times New Roman" w:hAnsi="Times New Roman" w:cs="Times New Roman"/>
          <w:color w:val="000000"/>
        </w:rPr>
        <w:lastRenderedPageBreak/>
        <w:t>normal circumstances must take it that such property, being a family asset, is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acquired in equal shares. We do not see any error, therefore, on the part of the Learned Judge when 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decided that the properties so owned were held in equal shares. As to whether or not the Learned Judge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right in ordering sale of those two properties is an issue we will refer to when we look into the power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court in dealing with an application under section 17 of the Act.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decreed that the property registered as Ngong/Ole Kesasi/35 in the name of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Pentecostal Evangelistic Fellowship of Africa had been the joint property of the Respondent and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and that the Respondent was entitled to a half share of the proceeds thereof which half share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to be paid to her forthwith. The evidence in regard to this property as brought up by the Respondent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contained in the affidavit sworn by her in support of her originating summons as well as in her oral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evidence. She said that she had contributed directly or indirectly to the purchase of all the properties in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question; that land parcel number Ngong/Ole Kesasi/35 was purchased from Joseph Karimi Mbiriri at a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 of KShs 75 000 which sum was part of a further loan of KShs 130 000 obtained as a result of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creation of a charge on property known as LR Nairobi/Block 32/26 in Golf Course Estate. In her oral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she said: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“Out of the loan of KShs 130 000 I paid KShs 60 000 towards the purchase of parcel number Ngong/Ole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Kesasi/3821 as part payment. This property is referred in paragraph 2 of the originating summons . . . The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balance of the loan of KShs 130 000 that is KShs 70 000 paid for the purchase of parcel of land known as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Ngong/Ole Kesasi/35. This property was sold to us by one Joseph Karimi Mbiriri at KShs 80 000 measuring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5 acres. The Respondent (Appellant here) undertook, at my request, to be responsible to effect transfer of this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property. In 1983 this property was registered in the Respondent’s name. However, it has been sold off to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Pentecostal Evangelistic Fellowship of Africa for KShs 140 000 and title issued on 16 May 1983. This parcel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sold by the Respondent without my consent. In fact, I had placed a caution but it must have been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removed before the sale. The Respondent has not paid me any money for the proceeds of this sale. I want this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to take this fact into account when determining the dispute before court”.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evidence falls short of proof, on a balance of probabilities, that the Appellant used the said sum of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KShs 70 000, the balance of the loan taken on plot number LR Nairobi/Block 32/26, for purchase of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Ngong/Ole Kesasi/35. It is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fact evidence of the nature which does not connect the 32/76 property loan to the purchase of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Ngong/Ole Kesasi/35. We are of the view that the Learned Judged erred in finding that the Respondent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contributed substantially to the purchase of properties so claimed. We are, here, referring in particular to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Ngong/Ole Kesasi/35 property. It is difficult to connect the sum of KShs 70 000 to the purchase of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Ngong/Ole Kesasi/35 property. There is a clear gap of many years between the period the second loan on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Nairobi/Block 32/26 was raised and the Ngong/Ole Kesasi/35 property was acquired. The fact remains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this particular property was not acquired during the period of coverture. There is no evidence as to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KShs 130 000 loan was obtained so as to leave KShs 70 000 available for purchase of property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1983. The evidence of the Respondent, though not challenged, is too tenuous to make a finding of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presumption of advancement or presumption of resulting trust in favour of the Respondent. In the case of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Ayoub and others v Standard Bank of South Africa Ltd and another </w:t>
      </w:r>
      <w:r>
        <w:rPr>
          <w:rFonts w:ascii="Times New Roman" w:hAnsi="Times New Roman" w:cs="Times New Roman"/>
          <w:color w:val="000000"/>
        </w:rPr>
        <w:t>[1961] EA 743 Newbold JA said in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dissenting opinion at page 765: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courts will not imply a trust save in order to give effect to the intention of the parties. As was said by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Lindley LJ,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Standing v Bowring </w:t>
      </w:r>
      <w:r>
        <w:rPr>
          <w:rFonts w:ascii="Times New Roman" w:hAnsi="Times New Roman" w:cs="Times New Roman"/>
          <w:color w:val="000000"/>
          <w:sz w:val="20"/>
          <w:szCs w:val="20"/>
        </w:rPr>
        <w:t>(11) [1886] 31 Ch D 282, at 289: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‘Trusts are neither created nor implied by law to defeat the intentions of donors or settlers; they are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created or implied or held to result in favour of donors or settlers in order to carry out and give effect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their true intentions, express or implied’. ”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 judgment of Newbold JA was the dissenting one, it was approved and upheld by the Privy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Council on an appeal to it from the then Court of Appeal for Eastern Africa. See </w:t>
      </w:r>
      <w:r>
        <w:rPr>
          <w:rFonts w:ascii="Times New Roman" w:hAnsi="Times New Roman" w:cs="Times New Roman"/>
          <w:i/>
          <w:iCs/>
          <w:color w:val="000000"/>
        </w:rPr>
        <w:t>Ayoub and others v</w:t>
      </w:r>
      <w:r w:rsidR="00D2653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Standard Bank of South Africa Ltd and another </w:t>
      </w:r>
      <w:r>
        <w:rPr>
          <w:rFonts w:ascii="Times New Roman" w:hAnsi="Times New Roman" w:cs="Times New Roman"/>
          <w:color w:val="000000"/>
        </w:rPr>
        <w:t>[1963] EA 619.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evidence in our view, of any implied or resulting trust in favour of the Respondent so as to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enable the court to say that she was a co-owner of the Ngong/Ole Kesasi/35 property. There is another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which we must point out. The property in question is Ngong/Ole Kesasi/37 and not 35 and no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attempt was made at any stage to seek any amendment to the originating summons to reflect this position.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property known as number IR 19040, that is LR number 1160/211 (the Karen property)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said that the Appellant purchased the same from the proceeds of the sale of Ngong/Ole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Kesasi/35 property and that therefore she was entitled to claim one half of the share of that property. Two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arise here. If all the proceeds of the sale of Ngong/Ole Kesasi/35 (or 37) were used to purchase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Karen property, the Respondent cannot have claim to both the properties, that is to say, half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profits of Ngong/Ole Kesasi/37 property and half of the Karen property. The Learned Judge granted her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both such reliefs. That was a clear misdirection. </w:t>
      </w:r>
      <w:r>
        <w:rPr>
          <w:rFonts w:ascii="Times New Roman" w:hAnsi="Times New Roman" w:cs="Times New Roman"/>
          <w:color w:val="000000"/>
        </w:rPr>
        <w:lastRenderedPageBreak/>
        <w:t>However, in the end result, nothing will turn on that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misdirection.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was no cogent evidence, acceptable on the standards applicable in civil </w:t>
      </w:r>
      <w:proofErr w:type="gramStart"/>
      <w:r>
        <w:rPr>
          <w:rFonts w:ascii="Times New Roman" w:hAnsi="Times New Roman" w:cs="Times New Roman"/>
          <w:color w:val="000000"/>
        </w:rPr>
        <w:t>matters, that</w:t>
      </w:r>
      <w:proofErr w:type="gramEnd"/>
      <w:r>
        <w:rPr>
          <w:rFonts w:ascii="Times New Roman" w:hAnsi="Times New Roman" w:cs="Times New Roman"/>
          <w:color w:val="000000"/>
        </w:rPr>
        <w:t xml:space="preserve"> is on a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balance of probability, that the Karen property was acquired from joint resources of the Appellant and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Respondent. The certificate of title in regard to the Karen property produced in the superior court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shows as pointed out earlier in this judgment, in entry number nine that this property was transferred to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for a consideration of KShs 840 000 on 12 July 1983 by one Dighton William Abercromby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on the same day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property was charged to British American Insurance Company Limited to secure a loan of KShs 651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498. That is entry number ten. Entry number 11 shows that Mr Abercromby lodged a caveat against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title claiming chargee’s interest pursuant to clause number one of the special conditions contained in an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attached to the caveat. This caveat was withdrawn on 5 February 1990. The purchase of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Karen property some two years after cessation of the coverture has not been shown to relate to any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monies in reality contribution by the Respondent. The evidence adduced by the Respondent to bring this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within the ambit of section 17 of the Act or any implied or resulting trust is too tenuous to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enable a court to say that the Appellant was holding half a share thereof, or any share thereof, in trust for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Judge, on the evidence before him, erred in arriving at the conclusions he did arrive at in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 to Ngong/Ole Kesasi/37 property and the Karen property.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 that falls for consideration next is whether or not section 17 of the Act can be used to pass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proprietary interests from one spouse to another. This section came under close scrutiny in the House of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Lords in England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Pettitt v Pettit </w:t>
      </w:r>
      <w:r>
        <w:rPr>
          <w:rFonts w:ascii="Times New Roman" w:hAnsi="Times New Roman" w:cs="Times New Roman"/>
          <w:color w:val="000000"/>
        </w:rPr>
        <w:t>[1969] 2 All ER 385. Lord Reid said of and concerning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section at 388: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would approach the question this way. The meaning of the section cannot have altered since it was passed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1882. At that time the certainty and security of rights of property were still generally regarded as of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paramount importance and I find it incredible that any Parliament of that era could have intended to put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husband’s property at the hazard of the unfettered discretion of a Judge (including a country court Judge) if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wife raised a dispute about it. Moreover this discretion if it exists, can only be exercised in proceedings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section 17: the same dispute could arise in other forms of action: and I find it even more incredible that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could have been intended that such a discretion should be given to a Judge in summary proceedings but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denied to the Judge of ordinary character. It is perfectly possible to construe the words having a much more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restricted meaning and in my judgment they should be so construed. I do not think a Judge has any more right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disregard property rights in section 17 proceedings than he has in other form of proceedings”.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Lord Morris of Borth-Y-Gest in the </w:t>
      </w:r>
      <w:r>
        <w:rPr>
          <w:rFonts w:ascii="Times New Roman" w:hAnsi="Times New Roman" w:cs="Times New Roman"/>
          <w:i/>
          <w:iCs/>
          <w:color w:val="000000"/>
        </w:rPr>
        <w:t xml:space="preserve">Pettitt </w:t>
      </w:r>
      <w:r>
        <w:rPr>
          <w:rFonts w:ascii="Times New Roman" w:hAnsi="Times New Roman" w:cs="Times New Roman"/>
          <w:color w:val="000000"/>
        </w:rPr>
        <w:t>case at said 398F: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“But when an application is made under section 17 there is no power in the court to make a contract for the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parties which they have not themselves made. Nor is there power to decide what the court thinks what the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parties could have agreed had they discussed the possible break-down or ending of relationship. Nor is there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power to decide on some general principle of what seems fair and reasonable how property rights are to be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re-allocated. In my view, these powers are not given by section 17”.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Lord Hodson in the same </w:t>
      </w:r>
      <w:r>
        <w:rPr>
          <w:rFonts w:ascii="Times New Roman" w:hAnsi="Times New Roman" w:cs="Times New Roman"/>
          <w:i/>
          <w:iCs/>
          <w:color w:val="000000"/>
        </w:rPr>
        <w:t xml:space="preserve">Pettitt </w:t>
      </w:r>
      <w:r>
        <w:rPr>
          <w:rFonts w:ascii="Times New Roman" w:hAnsi="Times New Roman" w:cs="Times New Roman"/>
          <w:color w:val="000000"/>
        </w:rPr>
        <w:t>case said at 401A: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matter has now been again fully argued and the same authorities, considered together with the relevant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statutes which preceded the Act of 1882, and I would only say that I adhere to the opinions expressed in the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National Provincial Bank </w:t>
      </w:r>
      <w:r>
        <w:rPr>
          <w:rFonts w:ascii="Times New Roman" w:hAnsi="Times New Roman" w:cs="Times New Roman"/>
          <w:color w:val="000000"/>
          <w:sz w:val="20"/>
          <w:szCs w:val="20"/>
        </w:rPr>
        <w:t>case [1965 2 ALL ER 472] in effect re-affirming the language of Romer LJ in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Cobb v Cobb </w:t>
      </w:r>
      <w:r>
        <w:rPr>
          <w:rFonts w:ascii="Times New Roman" w:hAnsi="Times New Roman" w:cs="Times New Roman"/>
          <w:color w:val="000000"/>
          <w:sz w:val="20"/>
          <w:szCs w:val="20"/>
        </w:rPr>
        <w:t>when he said: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‘I know of no power that the court has under section 17 to vary agreed or established titles to property.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has power to ascertain the respective rights of husband and wife to disputed property and frequently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has to do so on very little material, but where as here, the original rights to property are established by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evidence and those rights have not been varied by subsequent agreement, the court cannot in my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opinion under section 17 vary those rights merely because it thinks that in the light of subsequent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events, the original agreement was unfair’.”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Lord Upjohn in the </w:t>
      </w:r>
      <w:r>
        <w:rPr>
          <w:rFonts w:ascii="Times New Roman" w:hAnsi="Times New Roman" w:cs="Times New Roman"/>
          <w:i/>
          <w:iCs/>
          <w:color w:val="000000"/>
        </w:rPr>
        <w:t xml:space="preserve">Pettitt </w:t>
      </w:r>
      <w:r>
        <w:rPr>
          <w:rFonts w:ascii="Times New Roman" w:hAnsi="Times New Roman" w:cs="Times New Roman"/>
          <w:color w:val="000000"/>
        </w:rPr>
        <w:t>case said at 405F: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my view, section 17 is purely procedural section which confers on the Judge in relation to questions of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title no greater discretion then he would have in proceedings begun in any division of the High Court or in the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country court in relation to the property in dispute, for it must be remembered that apart altogether from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17, husband and wife could sue one another even before the Act of 1882 over questions of property;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 that, in my opinion, section 17 now disappears from the scheme and the rights of the parties must be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Judged on the general principles applicable in any court of law when considering questions of title to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property, and though the parties are husband and wife these questions of title must be decided by the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principles of law applicable to the settlement of claims between those who are not so related, whilst making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full allowances in view of that relationship”.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Lord Diplock in the </w:t>
      </w:r>
      <w:r>
        <w:rPr>
          <w:rFonts w:ascii="Times New Roman" w:hAnsi="Times New Roman" w:cs="Times New Roman"/>
          <w:i/>
          <w:iCs/>
          <w:color w:val="000000"/>
        </w:rPr>
        <w:t xml:space="preserve">Pettitt </w:t>
      </w:r>
      <w:r>
        <w:rPr>
          <w:rFonts w:ascii="Times New Roman" w:hAnsi="Times New Roman" w:cs="Times New Roman"/>
          <w:color w:val="000000"/>
        </w:rPr>
        <w:t>case said at 411G: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agree with your Lordship that the section confers no such powers on the court. It is, in my view, a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procedural section. It provides a summary and relatively informal forum which can sit in private for the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resolution of disputes between the husband and wife as to the title to or possession of any property not limited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‘family assets’ as I have defined them. It is available while husband and wife are living together as well as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when the marriage has broken up. The power conferred on the Judge to ‘make such order with respect to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property in dispute . . . as he shall think fit’ gives him a wide discretion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as to the enforcement of the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proprietary or possessory rights of the spouse in any property against the other but confers on him no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jurisdiction to transfer any proprietary interest in property”.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reason why we have referred to relevant portions of the speeches of all the five Law Lords in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Pettitt </w:t>
      </w:r>
      <w:r>
        <w:rPr>
          <w:rFonts w:ascii="Times New Roman" w:hAnsi="Times New Roman" w:cs="Times New Roman"/>
          <w:color w:val="000000"/>
        </w:rPr>
        <w:t>case is that we wish to make our view clearer that section 17 of the Act does not give power to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to substitute title from one spouse to the other or to give a portion of the property to one of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spouses. That would have meant that the court can effectively change the title of the property from one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 to another when section 17 does not cater for that drastic innovation.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we are not alone in this as Gicheru JA,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Kimani v Njoroge </w:t>
      </w:r>
      <w:r>
        <w:rPr>
          <w:rFonts w:ascii="Times New Roman" w:hAnsi="Times New Roman" w:cs="Times New Roman"/>
          <w:color w:val="000000"/>
        </w:rPr>
        <w:t>[1997] LLR 553 (CAK)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this: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rejoinder of counsel for the Respondent (husband) to the submission of counsel for the Appellant (wife)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that the Appellant’s right to a share of the properties in question was in the realm of constructive trust in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respect of which there was no evidence. It was for the Appellant to prove on a balance of probabilities that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she directly or indirectly contributed towards acquisition of the properties in respect of which she claimed to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entitled to a share without losing sight of the fact that in regard to indirect contribution, the same was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invariably to be considered in its own special circumstances. That onus of proof the Appellant, from the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evidence available before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Learned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trial Judge, was unable to discharge. To counsel, therefore, she was not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entitled to any share of the properties set out in the judgment. The Appellant’s claim in the superior court was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dependent on evidence of her direct and/or indirect contribution towards the acquisition of the properties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listed in the originating summons in that court. Indeed, her counsel said as much in her submission to this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at the hearing of this appeal. It is only with that kind of evidence that the trial court would have been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able to say what its effect in law was for as was observed by Lord Morris of Borth-Y-Gest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Gissing v</w:t>
      </w:r>
      <w:r w:rsidR="00D2653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Gissing </w:t>
      </w:r>
      <w:r>
        <w:rPr>
          <w:rFonts w:ascii="Times New Roman" w:hAnsi="Times New Roman" w:cs="Times New Roman"/>
          <w:color w:val="000000"/>
          <w:sz w:val="20"/>
          <w:szCs w:val="20"/>
        </w:rPr>
        <w:t>[1971] AC 888 at 898C–D: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‘The court does not decide how the parties might have ordered there affairs: it only finds how they did.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 cannot devise arrangements which the parties never made. The court cannot ascribe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intentions which the parties in fact never had. Nor can ownership of property be affected by the mere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circumstances that harmony has been replaced by discord. Any power in the court to alter ownership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must be found in statutory enactment’ ”.</w:t>
      </w:r>
      <w:r w:rsidR="00D26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Here we must point out the other two Judges of appeal (Omolo and Lakha JJA) whilst not disagreeing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Gicheru JA ordered a retrial in the superior court on the basis that the Learned Judge in the superior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(Kuloba J) had shown a patently unfair bias against the wife. But the principle as enunciated in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Gissing v Gissing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was not the subject of dissent.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would add our own observations, that is to say, that until such time as some law is enacted, as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indeed it was enacted in England as a result of the decisions in </w:t>
      </w:r>
      <w:r>
        <w:rPr>
          <w:rFonts w:ascii="Times New Roman" w:hAnsi="Times New Roman" w:cs="Times New Roman"/>
          <w:i/>
          <w:iCs/>
          <w:color w:val="000000"/>
        </w:rPr>
        <w:t xml:space="preserve">Pettitt v Pettitt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>Gissing v Gissing</w:t>
      </w:r>
      <w:r>
        <w:rPr>
          <w:rFonts w:ascii="Times New Roman" w:hAnsi="Times New Roman" w:cs="Times New Roman"/>
          <w:color w:val="000000"/>
        </w:rPr>
        <w:t>, to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 proprietory rights to spouses as distinct from registered title rights, section 17 of the Act must be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the same interpretation as the Law Lords did in the said two cases. Such laws should be enacted to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cater for conditions and circumstances in Kenya. In England the Matrimonial Homes Act of 1967 was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enacted which was later replaced by the Matrimonial Proceedings and Property Act of 1970.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Matrimonial Cause Act of 1973 also made a different.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least what was decided in </w:t>
      </w:r>
      <w:r>
        <w:rPr>
          <w:rFonts w:ascii="Times New Roman" w:hAnsi="Times New Roman" w:cs="Times New Roman"/>
          <w:i/>
          <w:iCs/>
          <w:color w:val="000000"/>
        </w:rPr>
        <w:t xml:space="preserve">Gissing v Gissing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opened a way to seek relevant relief by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pleading trusts, express, implied or resultant. Such a claim can be brought by way of declaratory suit.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if the Learned Judge was correct in his findings to the effect that Ngong/Ole Kesasi/37 property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Karen property belonged equally to the two spouses he could not properly have ordered transfer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proprietary interest in the properties from one spouse to another. He could have only ordered that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do pay to the Respondent one-half or such appropriate share of the value of each property after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market valuation thereof was carried out by a reputable valuer. As it stands now it is not necessary to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any such order as we have come to the conclusion that the Respondent did not prove any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entitlement to any share in these two properties.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come back to the first two properties which are jointly owned. We see no reason to depart from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the Learned Judge found in regard thereto save as to his order for sale of the two properties and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proceeds thereof to be divided equally. Before we formulate our orders we must consider that this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litigation has been going on between the spouses since 1983. The Appellant has had a better measure of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control and benefit over these properties and has gained more therefrom than the Respondent has. We do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wish to leave any room for doubt. We do not want the parties to litigate over what the two properties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earned since cohabitation ceased. To compensate the Respondent for the loss she has suffered as a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 we would apportion their shares over the properties so that the Respondent gets 60% share of both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said properties and the Appellant gets 40% share of both the said properties. We order that both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properties be valued by an independent valuer to be agreed upon between the Appellant and the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Respondent. In the absence of such an agreement the superior court may nominate such valuer. Upon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valuation thereof either party to be at liberty to buy out the share of the other party whereafter </w:t>
      </w:r>
      <w:r>
        <w:rPr>
          <w:rFonts w:ascii="Times New Roman" w:hAnsi="Times New Roman" w:cs="Times New Roman"/>
          <w:color w:val="000000"/>
        </w:rPr>
        <w:lastRenderedPageBreak/>
        <w:t>there could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effected, if necessary, transfer of title by ordinary conveyancing methods. We would therefore vary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orders one and two of the Learned Judge in terms as set out above. We would set aside orders three and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four made by the Learned Judge. We would leave the fifth order undisturbed. We would also amend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number six and give to the wife Respondent 60% of the costs of the suit in the superior court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instead of full costs.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had a measure of success in this appeal and we would award to him one-half the costs</w:t>
      </w:r>
      <w:r w:rsidR="00D265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here. We would make no order as regards costs of the interested party. These </w:t>
      </w:r>
      <w:bookmarkEnd w:id="0"/>
      <w:r>
        <w:rPr>
          <w:rFonts w:ascii="Times New Roman" w:hAnsi="Times New Roman" w:cs="Times New Roman"/>
          <w:color w:val="000000"/>
        </w:rPr>
        <w:t>are then our orders.</w:t>
      </w:r>
    </w:p>
    <w:p w:rsidR="00361CBA" w:rsidRDefault="00361CBA" w:rsidP="0036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361CBA" w:rsidRDefault="00361CBA" w:rsidP="0036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 H Ngatia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Ngatia and Associates</w:t>
      </w:r>
    </w:p>
    <w:p w:rsidR="00361CBA" w:rsidRDefault="00361CBA" w:rsidP="0036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 Ochien’g Oduol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Ochien’g Oduol and Co</w:t>
      </w:r>
    </w:p>
    <w:p w:rsidR="00361CBA" w:rsidRDefault="00361CBA" w:rsidP="0036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361CBA" w:rsidP="00361CBA">
      <w:r>
        <w:rPr>
          <w:rFonts w:ascii="Times New Roman" w:hAnsi="Times New Roman" w:cs="Times New Roman"/>
          <w:i/>
          <w:iCs/>
          <w:color w:val="000000"/>
        </w:rPr>
        <w:t xml:space="preserve">M W Karua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Martha Karua and Co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BA"/>
    <w:rsid w:val="00361CBA"/>
    <w:rsid w:val="003F18BF"/>
    <w:rsid w:val="00D2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9BCB1-62EA-4A31-A97A-49C753CB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4234</Words>
  <Characters>24135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2018-07-05T11:36:00Z</dcterms:created>
  <dcterms:modified xsi:type="dcterms:W3CDTF">2018-07-12T18:37:00Z</dcterms:modified>
</cp:coreProperties>
</file>