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Kampala City Council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Nuliyati</w:t>
      </w:r>
      <w:proofErr w:type="spellEnd"/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September 1974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44/1974 (112/74)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V-P,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Limitation of actions – Notice before action – To local authority – Not proved to have been given in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time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Action fails – Civil Procedure and Limitation (Miscellaneous Provisions) Act </w:t>
      </w:r>
      <w:r>
        <w:rPr>
          <w:rFonts w:ascii="Times New Roman" w:hAnsi="Times New Roman" w:cs="Times New Roman"/>
          <w:color w:val="000000"/>
        </w:rPr>
        <w:t xml:space="preserve">1969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1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Limitation of actions – Local authority – Suit by person under disability – May be brought outside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one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year limit – Civil Procedure and Limitation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Miscellaneous Provisions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 xml:space="preserve">1969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4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Limitation of actions – Fatal accident – Suit by person under disability – May not be brought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outside three year limit – Civil Procedure and Limitation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Miscellaneous Provisions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 xml:space="preserve">1969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8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Spry V-P: </w:t>
      </w:r>
      <w:r>
        <w:rPr>
          <w:rFonts w:ascii="Times New Roman" w:hAnsi="Times New Roman" w:cs="Times New Roman"/>
          <w:color w:val="000000"/>
        </w:rPr>
        <w:t>The respondent sued the Kampala City</w:t>
      </w:r>
    </w:p>
    <w:p w:rsidR="00EE2051" w:rsidRDefault="00EE2051" w:rsidP="00E02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Council as a minor by her next friend and grandparent, claiming in respect of the death of her father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under the Law Reform (Miscellaneous Provisions) Act (Cap. 74) for the benefit of the members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his family. She claimed that the death of her father was caused by the negligent driving of a motor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in which he was a passenger. The driver of the vehicle was alleged to be a servant or agent of the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 action in the course of his employment.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accident in which the plaintiff’s father died occurred on 7 April 1969. The plaint was filed on 18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1973.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Council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which it alleged that the suit was time-barred as it was filed more than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twelve months from the time when the cause of action arose. Alternatively, it was claimed that the suit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incompetent as no statutory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had been delivered prior to the filing of the suit, as required by s. 1 of the Civil Procedure and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(Miscellaneous Provisions) Act 1969.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reply was filed.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hearing of the suit, the first two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were taken as preliminary objections. Both were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rejected by the trial judge and it is from his order that this appeal is brought by leave.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question of limitation, the judge said: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“By section 8 (2)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of the Law Reform (Miscellaneous Provisions) Act, (Cap. 74)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action brought under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7 must be commenced within three years after the death of the deceased person. Section 8 (2)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must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read together with section 22 of the Limitation Act (which extends the limitation period in case of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disability). Under section 22 of the [sic] a minor can bring an action out of time if he complies with para.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subsection (2) that is if he proves that he was not at the time when the right of action accrued to him in the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custody of a member of his family. . . . However, section 4 of the Civil Procedure and Limitation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(Miscellaneous Provisions) Act 1969 is a reproduction of section 22 (1) of the Limitation Act but omits the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whole of subsection (2) of that section. This subsection (2) must have been left out on purpose, it was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certainly not by oversight,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repealed by implication by section 4. . . .”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the judge held that where s. 4 applies, a minor does not have to prove that he was not in the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custody of a mem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ber of his family. He held that the suit was not statute-barred.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of action on which this suit is founded was created by s. 7 of the Law Reform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(Miscellaneous Provisions) Act and s. 8 (2)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that Act provides that every such action shall be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commenced within three years after the death of such deceased person. The Act contains no provision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extending that period for the benefit of a person who was under disability when the cause of action arose.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Limitation Act (Cap. 70), which contains the general law of limitation in Uganda, contains a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in s. 33 that: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“This Act shall not apply to any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action.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 for which a period of limitation is prescribed by any other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enactment. . . .”</w:t>
      </w:r>
      <w:r w:rsidR="00E02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think, therefore, with respect, that the judge was wrong when he said that s. 8 (2)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Law Reform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(Miscellaneous Provisions) Act had to be read with s. 22 of the Limitation Act. I do not think we are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with the latter Act.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 of the Civil Procedure and Limitation (Miscellaneous Provisions) Act 1969, provides that no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founded on tort shall be brought against a local authority after the expiration of twelve months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date on which the cause of action arose. It is not disputed that the Council is a local authority. S.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 of the Act provides that if, when a right of action accrues for which a period of limitation is prescribed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Act, the person to whom it accrues is under disability, the action may be brought at any time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expiration of twelve months from the date when the person ceases to be under disability.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Quite clearly, s. 2 of the Civil Procedure and Limitation (Miscellaneous Provisions) Act 1969,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reduces the period of </w:t>
      </w:r>
      <w:r>
        <w:rPr>
          <w:rFonts w:ascii="Times New Roman" w:hAnsi="Times New Roman" w:cs="Times New Roman"/>
          <w:color w:val="000000"/>
        </w:rPr>
        <w:lastRenderedPageBreak/>
        <w:t>limitation in fatal accident cases, where a local authority is concerned, from three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years to one year. The question is whether s. 4 of that Act can operate to extend the period, where the suit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by a minor, beyond three years. I do not think so. I think the two Acts can and should be read together,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result is that in the case of a minor plaintiff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period of limitation may be extended beyond the one year prescribed by s. 2 but not beyond the three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years prescribed by s. 8 (2)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Law Reform (Miscellaneous Provisions) Act, the Act which creates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of action. I think, with respect, that the judge was wrong and that this suit was barred by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question of notice, the judge said that he had seen a copy of a notice dated 15 May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1973, stamped with the seal of the Council. He said that he was satisfied that the statutory notice was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and acknowledged. With respect, what was in issue was whether the statutory notice was given at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least sixty days before the filing of the suit. This was put in issue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the onus of proving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due delivery was clearly on the respondent. That onus was not discharged.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allow the appeal, set aside the order of the judge and substitute an order that the suit be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with costs. I would award the Council the costs of the appeal. As the other members of the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agree, it is so ordered.</w:t>
      </w:r>
      <w:r w:rsidR="00E026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 xml:space="preserve">I have read and agree with the judgment of Spry, V.-P. </w:t>
      </w: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I concur in the order proposed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him.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I agree.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E2051" w:rsidRDefault="00EE2051" w:rsidP="00E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p w:rsidR="003278A0" w:rsidRDefault="00EE2051" w:rsidP="00EE2051">
      <w:r>
        <w:rPr>
          <w:rFonts w:ascii="Times New Roman" w:hAnsi="Times New Roman" w:cs="Times New Roman"/>
          <w:color w:val="000000"/>
        </w:rPr>
        <w:t>For the respondent: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51"/>
    <w:rsid w:val="003278A0"/>
    <w:rsid w:val="00E0262D"/>
    <w:rsid w:val="00EE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417B3-564A-4F7B-B6FA-278AE961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2018-07-06T11:47:00Z</dcterms:created>
  <dcterms:modified xsi:type="dcterms:W3CDTF">2018-07-12T18:39:00Z</dcterms:modified>
</cp:coreProperties>
</file>