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Kampala District Land Board and another v National Housing and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Construction Corporation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August 2005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2/04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Land – Statutory leases – Effect of abolition of statutory leases – Whether the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suit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land was registered on the coming into force of 1995 Constitution – Articles 237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, 241 and 285 –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of Uganda.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Fraud – Definition of fraud – Whether registration of second appellant was fraudulent – Sections 1,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29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, 31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 xml:space="preserve">, 38 and 59 – Land Act of 1998 – Sections 64 and 176 – Registration of Titles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Chapter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230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Land law – Bona fide occupation – Registered owner – Definition of a registered owner – Definition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bona fide occupier – Rights of bona fide occupier – Whether respondent was a bona fide occupier –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suit land was available for leasing.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C5B18" w:rsidRDefault="006A5540" w:rsidP="008C5B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Kampala City Council was the proprietor of two adjacent parcels of land registered as Leasehold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 Volume 1065 Folio 16 Plot number M239 and Plot number M597 Luthuli Second Close in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Bugolobi, a suburb of Kampala City. The two plots were part of a statutory lease, LRV 796 Folio 6,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to the City by the Uganda Land Commission for a term of 190 years. On 1 May 1969, the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Kampala City Council granted the respondent a lease over Plot number M239 for a term of 99 years. The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then began to construct flats on the parcel of land. During the construction period, it was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allowed to </w:t>
      </w:r>
      <w:proofErr w:type="spellStart"/>
      <w:r>
        <w:rPr>
          <w:rFonts w:ascii="Times New Roman" w:hAnsi="Times New Roman" w:cs="Times New Roman"/>
          <w:color w:val="000000"/>
        </w:rPr>
        <w:t>utilise</w:t>
      </w:r>
      <w:proofErr w:type="spellEnd"/>
      <w:r>
        <w:rPr>
          <w:rFonts w:ascii="Times New Roman" w:hAnsi="Times New Roman" w:cs="Times New Roman"/>
          <w:color w:val="000000"/>
        </w:rPr>
        <w:t xml:space="preserve"> plot number M597 (hereinafter referred to as the suit land) to facilitate construction. It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proceeded to construct a latrine for workers on the suit land. It subsequently built a fence, enclosing both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flats and the suit land. Between 1970 and 2000, the respondent remained in possession of the suit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land, maintaining it for use as a children’s playground as well as a place for drying residents’ clothes. It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passed water pipes underneath the plot. The latrine remained on the plot and was used by the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workers as well as by local council residents during meetings.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July 1999, the respondent learnt that in June of that year, the suit land had been offered on a lease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second appellant. Despite protests from the respondent and other area respondents, the first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granted the lease to the second appellant who received a title to the suit land.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filed suit in the High Court against the appellants seeking,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a declaration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suit land belonged to it, and orders that the grant to the second appellant be declared void </w:t>
      </w:r>
      <w:r>
        <w:rPr>
          <w:rFonts w:ascii="Times New Roman" w:hAnsi="Times New Roman" w:cs="Times New Roman"/>
          <w:i/>
          <w:iCs/>
          <w:color w:val="000000"/>
        </w:rPr>
        <w:t>ab</w:t>
      </w:r>
      <w:r w:rsidR="008C5B1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initio</w:t>
      </w:r>
      <w:r>
        <w:rPr>
          <w:rFonts w:ascii="Times New Roman" w:hAnsi="Times New Roman" w:cs="Times New Roman"/>
          <w:color w:val="000000"/>
        </w:rPr>
        <w:t>, that the Registrar of Titles cancel the title issued to the second appellant, that the second appellant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evicted from the parcel, that the first appellant grant the suit land to the respondent as well as payment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punitive and general damages. Both appellants filed written statements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denying the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claims. The High Court dismissed the respondent’s suit. The respondent then appealed to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which allowed its appeal and granted the declarations and orders sought in the plaint.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appellants now appealed to the Supreme Court on the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Court of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had failed to consider their submissions, that it failed to properly re-evaluate the evidence and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erred in holding that the respondent was in possession of the plot since 1970. They also argued that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erred in holding that the plot belonged to the respondent, that the respondent was a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bona fide occupant of the plot, that the registration of the second appellant was fraudulent, that the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doctrine of estoppel was not applicable against the respondent and in awarding the respondent damages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ordering it to lease the suit land to the respondent.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 appellants argued,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Court of Appeal did not address itself to the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as to whether the respondent occupied the suit land since 1970, and that the respondent was not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bona fide occupant because the suit land was unregistered.</w:t>
      </w:r>
      <w:r w:rsidR="008C5B18">
        <w:rPr>
          <w:rFonts w:ascii="Times New Roman" w:hAnsi="Times New Roman" w:cs="Times New Roman"/>
          <w:color w:val="000000"/>
        </w:rPr>
        <w:t xml:space="preserve"> </w:t>
      </w:r>
    </w:p>
    <w:p w:rsidR="008C5B18" w:rsidRDefault="008C5B18" w:rsidP="008C5B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C5B18" w:rsidRDefault="006A5540" w:rsidP="008C5B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learned Justices of Appeal had adequately re-evaluated the evidence on record before coming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their conclusion. There was ample evidence to support the finding that the respondent had been in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possession of the suit land and had effectively </w:t>
      </w:r>
      <w:proofErr w:type="spellStart"/>
      <w:r>
        <w:rPr>
          <w:rFonts w:ascii="Times New Roman" w:hAnsi="Times New Roman" w:cs="Times New Roman"/>
          <w:color w:val="000000"/>
        </w:rPr>
        <w:t>utilised</w:t>
      </w:r>
      <w:proofErr w:type="spellEnd"/>
      <w:r>
        <w:rPr>
          <w:rFonts w:ascii="Times New Roman" w:hAnsi="Times New Roman" w:cs="Times New Roman"/>
          <w:color w:val="000000"/>
        </w:rPr>
        <w:t xml:space="preserve"> it.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were no grounds on which to fault the Court of Appeal’s conclusion that the suit land formed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the statutory lease granted to the Kampala City Council in 1970 and thus was its registered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on the coming into force of the 1995 Constitution. The evidence on record established that the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land was not merely surveyed but was also registered.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had been in occupation of the suit land for more than 12 years at the time the 1995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entered into force, without any challenge from the Kampala City Council. It was therefore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enjoy its occupancy in accordance with Article 237(8) of the Constitution and section 31(1) of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 Act.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well settled law that Article 285 of the 1995 Constitution abolished statutory leases to urban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authorities. The statutory lease granted to Kampala City Council by the Uganda Land Commission in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1970 was thus extinguished upon the entry into force of the Constitution. However, provisions were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to protect the rights of those tenants in occupation of registered land. District land boards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by the Land Act became successors in title to controlling or urban authorities in respect of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land not granted or alienated to any person pursuant to section 59(8) of the Land Act. In this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instance, the suit land had been vested in the Kampala District Land Board which had jurisdiction to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allocate it, if not owned by any person or authority. Following the extinguishment of statutory leases, the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of the respondent as a tenant in possession holding adversely to the Kampala City Council for a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long time could not be held to have been automatically extinguished. The respondent could claim the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and benefits accruing to a bona fide occupant of a registered owner who, in this instance, must be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deemed to be the Kampala District Land Board.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Appeal’s holding that the land was not available for leasing without reference to the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consistent with the finding that the respondent was a bona fide occupant of the suit land. A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bona fide occupant had security of tenure and his interest could not be alienated except as provided by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law.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well settled law that a certificate of title was indefeasible except on the ground of fraud. Fraud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meant actual fraud or some act of dishonesty; </w:t>
      </w:r>
      <w:r>
        <w:rPr>
          <w:rFonts w:ascii="Times New Roman" w:hAnsi="Times New Roman" w:cs="Times New Roman"/>
          <w:i/>
          <w:iCs/>
          <w:color w:val="000000"/>
        </w:rPr>
        <w:t xml:space="preserve">Kampala Bottlers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Dominico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applied. The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procurement of registration of title in order to defeat an unregistered interest amounted to fraud;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Matovu</w:t>
      </w:r>
      <w:proofErr w:type="spellEnd"/>
      <w:r w:rsidR="008C5B1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Ssevivi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Nalima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Musoke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UPTC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Intaaya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applied. In this instance, the appellants had insisted on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registering the suit land in favour of the second appellant in full awareness of the respondent’s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unregistered interest and without following the proper procedures for granting leases over unallocated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land. The respondent was not given an opportunity to be present during the site inspection nor to submit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objections nor to be heard. There was, therefore, ample evidence before the court on which it could reach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conclusion of fraud. The Court of Appeal’s finding of fraud against the appellants could, thus, not be</w:t>
      </w:r>
      <w:r w:rsidR="008C5B1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faulted.</w:t>
      </w:r>
      <w:r w:rsidR="008C5B18">
        <w:rPr>
          <w:rFonts w:ascii="Times New Roman" w:hAnsi="Times New Roman" w:cs="Times New Roman"/>
          <w:color w:val="000000"/>
        </w:rPr>
        <w:t xml:space="preserve"> </w:t>
      </w:r>
    </w:p>
    <w:p w:rsidR="006A5540" w:rsidRDefault="006A5540" w:rsidP="008C5B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8C5B18">
        <w:rPr>
          <w:rFonts w:ascii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were no grounds for disturbing the Court of Appeal’s finding that the doctrine of estoppel did</w:t>
      </w:r>
      <w:r w:rsidR="008C5B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apply against the respondent.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8C5B1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prayer in the plaint for damages could not be granted as there was no evidence or other grounds</w:t>
      </w:r>
      <w:r w:rsidR="008C5B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for the grant of damages.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8C5B1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respondent’s interest in the land did not entitle it to an automatic grant of a lease over the suit</w:t>
      </w:r>
      <w:r w:rsidR="008C5B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land. The respondent was entitled to apply for a lease and to be given the first option to lease it. The</w:t>
      </w:r>
      <w:r w:rsidR="008C5B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in paragraph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) should therefore</w:t>
      </w:r>
      <w:r w:rsidR="008C5B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modified to provide that the appellant give due consideration to the respondent’s application.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Kampala Bottles Ltd v </w:t>
      </w:r>
      <w:proofErr w:type="spellStart"/>
      <w:r>
        <w:rPr>
          <w:rFonts w:ascii="Times New Roman" w:hAnsi="Times New Roman" w:cs="Times New Roman"/>
          <w:color w:val="000000"/>
        </w:rPr>
        <w:t>Dominico</w:t>
      </w:r>
      <w:proofErr w:type="spellEnd"/>
      <w:r>
        <w:rPr>
          <w:rFonts w:ascii="Times New Roman" w:hAnsi="Times New Roman" w:cs="Times New Roman"/>
          <w:color w:val="000000"/>
        </w:rPr>
        <w:t xml:space="preserve"> (U) Ltd [1990-94] EA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Katarikawe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Katweremu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(1977) HCB 187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Marko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Matovu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Mohammed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Ssevivi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</w:t>
      </w:r>
      <w:r>
        <w:rPr>
          <w:rFonts w:ascii="Times New Roman" w:hAnsi="Times New Roman" w:cs="Times New Roman"/>
          <w:color w:val="000000"/>
        </w:rPr>
        <w:t>, civil appeal number 7 of 1978 (CA),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Registered Trustees of Kampala Institute v Departed Asian Property Custodian Board </w:t>
      </w:r>
      <w:r>
        <w:rPr>
          <w:rFonts w:ascii="Times New Roman" w:hAnsi="Times New Roman" w:cs="Times New Roman"/>
          <w:color w:val="000000"/>
        </w:rPr>
        <w:t>civil appeal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number</w:t>
      </w:r>
      <w:proofErr w:type="gramEnd"/>
      <w:r>
        <w:rPr>
          <w:rFonts w:ascii="Times New Roman" w:hAnsi="Times New Roman" w:cs="Times New Roman"/>
          <w:color w:val="000000"/>
        </w:rPr>
        <w:t xml:space="preserve"> 21 of 1993 (SC)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Sijaka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Nalima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Rebecca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civil appeal number 12 of 1985 (SC)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Posts and Telecommunications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Lutaaya</w:t>
      </w:r>
      <w:proofErr w:type="spellEnd"/>
      <w:r>
        <w:rPr>
          <w:rFonts w:ascii="Times New Roman" w:hAnsi="Times New Roman" w:cs="Times New Roman"/>
          <w:color w:val="000000"/>
        </w:rPr>
        <w:t>, civil appeal number 36 of 1995 (SC)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6A5540" w:rsidRDefault="006A5540" w:rsidP="006A5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Assets Co v Mere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Roihi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[1950] AC 176</w:t>
      </w:r>
    </w:p>
    <w:p w:rsidR="0080578A" w:rsidRDefault="006A5540" w:rsidP="006A5540">
      <w:r>
        <w:rPr>
          <w:rFonts w:ascii="Times New Roman" w:hAnsi="Times New Roman" w:cs="Times New Roman"/>
          <w:i/>
          <w:iCs/>
          <w:color w:val="000000"/>
        </w:rPr>
        <w:t xml:space="preserve">Waimiha Saw Milling Co Ltd v Laine Timber Co Ltd </w:t>
      </w:r>
      <w:r>
        <w:rPr>
          <w:rFonts w:ascii="Times New Roman" w:hAnsi="Times New Roman" w:cs="Times New Roman"/>
          <w:color w:val="000000"/>
        </w:rPr>
        <w:t>[1926] AC 101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40"/>
    <w:rsid w:val="006A5540"/>
    <w:rsid w:val="0080578A"/>
    <w:rsid w:val="008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6F267-4B58-4B4A-BE24-798AE148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2018-07-04T19:02:00Z</dcterms:created>
  <dcterms:modified xsi:type="dcterms:W3CDTF">2018-07-12T18:40:00Z</dcterms:modified>
</cp:coreProperties>
</file>