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Kampala District Land Board and another v National Housing and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Construction Corporation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August 2005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2/04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Land – Statutory leases – Effect of abolition of statutory leases – Whether the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suit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land was registered on the coming into force of 1995 Constitution – Articles 237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, 241 and 285 –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Constitution of Uganda.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Fraud – Definition of fraud – Whether registration of second appellant was fraudulent – Sections 1,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29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, 31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 xml:space="preserve">, 38 and 59 – Land Act of 1998 – Sections 64 and 176 – Registration of Titles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Chapter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230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Land law – Bona fide occupation – Registered owner – Definition of a registered owner – Definition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bona fide occupier – Rights of bona fide occupier – Whether respondent was a bona fide occupier –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suit land was available for leasing.</w:t>
      </w:r>
    </w:p>
    <w:p w:rsidR="006468B9" w:rsidRDefault="00DE19C7" w:rsidP="00DE19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6468B9" w:rsidRDefault="006468B9" w:rsidP="00DE19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Odoki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CJ: </w:t>
      </w:r>
      <w:r>
        <w:rPr>
          <w:rFonts w:ascii="Times New Roman" w:hAnsi="Times New Roman" w:cs="Times New Roman"/>
          <w:color w:val="000000"/>
        </w:rPr>
        <w:t>This is</w:t>
      </w:r>
      <w:bookmarkStart w:id="0" w:name="_GoBack"/>
      <w:r>
        <w:rPr>
          <w:rFonts w:ascii="Times New Roman" w:hAnsi="Times New Roman" w:cs="Times New Roman"/>
          <w:color w:val="000000"/>
        </w:rPr>
        <w:t xml:space="preserve"> an appeal from the judgment and orders of the Court of Appeal of Uganda which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the respondent’s appeal against the appellants.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facts, as found by the courts below, were that around 1996, the respondent was granted a lease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registered under Leasehold Register Volume 1065 Folio 16 Plot number M239 at Bugolobi, a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suburb of Kampala City. The land was part of a statutory lease of 190 years granted to Kampala City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 by the Uganda Land Commission. Adjacent to this land and also part of the statutory lease was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piece of land known as Plot number 157 Luthuli Second Close, Bugolobi (hereinafter referred to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suit land)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1970 the respondent constructed blocks of flats on its land during which period it was allowed to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utilise</w:t>
      </w:r>
      <w:proofErr w:type="spellEnd"/>
      <w:r>
        <w:rPr>
          <w:rFonts w:ascii="Times New Roman" w:hAnsi="Times New Roman" w:cs="Times New Roman"/>
          <w:color w:val="000000"/>
        </w:rPr>
        <w:t xml:space="preserve"> the suit land to facilitate construction. It constructed on the suit land a latrine for workers 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 built a fence around its block of flats which enclosed the suit land. Between 1970 and 2000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remained in possession of the suit land, and kept it properly maintained for use as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children’s playground, for drying residents’ clothes, and passed water pipes underneath it. The public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latrine remained on this land in use by the respondent’s workers and Local Council residents during their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meetings.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June 1999, the respondent learnt that the suit land had been offered on a lease to the second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 Despite protests from the respondent and other residents of the Local Council of the area,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appellant granted the lease.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bookmarkEnd w:id="0"/>
      <w:r>
        <w:rPr>
          <w:rFonts w:ascii="Times New Roman" w:hAnsi="Times New Roman" w:cs="Times New Roman"/>
          <w:color w:val="000000"/>
        </w:rPr>
        <w:t>Subsequently, the second appellant received a land title to the land now registered as Leasehold Register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Volume 2860, Folio 4, Luthuli Second Close, Bugolobi.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filed a suit against the two appellants seeking the following orders: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 declaration that all the land comprised in Leasehold Volume 2860, Folio 20, Plot 4, Luthuli Second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Close, Bugolobi Estate, belongs exclusively to the respondent and not any other party.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 declaration that the grant of title over the suit land by the first appellant to the second appellant was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ab initio </w:t>
      </w:r>
      <w:r>
        <w:rPr>
          <w:rFonts w:ascii="Times New Roman" w:hAnsi="Times New Roman" w:cs="Times New Roman"/>
          <w:color w:val="000000"/>
          <w:sz w:val="20"/>
          <w:szCs w:val="20"/>
        </w:rPr>
        <w:t>as there was no land available to the respondent for grant to second respondent.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 declaration that the second appellant’s lease and title to the suit land was null and void.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An order directing the Registrar of Titles to cancel the certificate of title to the suit land issued to the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second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appellant.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 permanent injunction to issue against the second defendant restraining it, its agents, servants and any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 deriving title from the second defendant from entering, remaining or otherwise interfering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suit property.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) An order for eviction of the second appellant from the suit land.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>) An order directing the first defendant to grant the suit land to the respondent.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) An award of punitive and general damages, costs and any other relief deemed fit by the court.</w:t>
      </w:r>
    </w:p>
    <w:p w:rsidR="00DE19C7" w:rsidRDefault="006468B9" w:rsidP="00DE19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their written statements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appellants denied the respondent’s claims. The first appellant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denied that the respondent ever fenced or was in possession of the suit land that the respondent was a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bona fide purchaser or lawful or customary tenant on the suit land, and also denied allegations of fraud.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lastRenderedPageBreak/>
        <w:t xml:space="preserve">second appellant pleaded,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certificate of title to the suit land was properly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 since the suit land was available for leasing at the time of grant, and there was no subsisting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lease. It pleaded further that it was the registered proprietor of the suit land which title was obtained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fraud. It denied that the suit land was fenced by the respondent or that it was in its possession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used by the respondent’s agents.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disallowed the respondent’s claim and gave judgment in favour of the appellants.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successfully appealed to the Court of Appeal which granted the declarations and orders which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sought in the plaint. The appellants were dissatisfied with the decision of the Court of Appeal,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hence this appeal.</w:t>
      </w:r>
      <w:r w:rsidR="00DE19C7">
        <w:rPr>
          <w:rFonts w:ascii="Times New Roman" w:hAnsi="Times New Roman" w:cs="Times New Roman"/>
          <w:color w:val="000000"/>
        </w:rPr>
        <w:tab/>
      </w:r>
    </w:p>
    <w:p w:rsidR="006468B9" w:rsidRDefault="00DE19C7" w:rsidP="00DE19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6468B9">
        <w:rPr>
          <w:rFonts w:ascii="Times New Roman" w:hAnsi="Times New Roman" w:cs="Times New Roman"/>
          <w:color w:val="000000"/>
        </w:rPr>
        <w:t>The appellants preferred eleven grounds of appeal which are stated as follows: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when they failed to consider the submission of the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appellants.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when they failed to properly re-evaluate the evidence and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they made finding of fact without evidence on record to support them.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and fact when they held that the respondent was in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possession or occupation of the suit land since 1970.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and fact when they held that the suit land was registered on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coming into force of the 1995 Constitution.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and fact when they held that the existence of a plot number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suit land means that it was registered.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and fact when they held that the suit land belongs to the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7. 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and fact when they held that the respondent was a bona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fide occupant of the suit land.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8. 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when they held that the suit land was not available for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leasing.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9. 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and fact when they held that the application and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registration of the second appellant was fraudulent.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10. 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and fact when they held that the doctrine of estoppel was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applicable against the respondent.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11. 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when they awarded the respondent damages and ordered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first appellant to lease the suit land to the respondent.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filed a notice of grounds for affirming the decision of the Court of Appeal consisting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following grounds: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suit land was part of land registered under the Statutory Lease LRV 796, Folio 6 granted to the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City Council of Kampala as from 1 May 1970 for a term of 190 years.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respondent was a bona fide occupant of the suit land as Kampala City Council which had a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statutory lease over the same, till October 1995 and never changed the respondent’s occupancy.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1995 Constitution, though it abolished statutory leases, did not declare the said leases to have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null and void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ab initio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6468B9" w:rsidRDefault="006468B9" w:rsidP="00DE19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appeal was argued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Ojambo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Robert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Paul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Muhimbura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second appellant,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Nelson </w:t>
      </w:r>
      <w:r>
        <w:rPr>
          <w:rFonts w:ascii="Times New Roman" w:hAnsi="Times New Roman" w:cs="Times New Roman"/>
          <w:i/>
          <w:iCs/>
          <w:color w:val="000000"/>
        </w:rPr>
        <w:t xml:space="preserve">Nerima </w:t>
      </w:r>
      <w:r>
        <w:rPr>
          <w:rFonts w:ascii="Times New Roman" w:hAnsi="Times New Roman" w:cs="Times New Roman"/>
          <w:color w:val="000000"/>
        </w:rPr>
        <w:t xml:space="preserve">for the first appellant.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Geoffrey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Sakwa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represented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for the appellant argued grounds 1, 2 and 3 together, grounds 4, 5 and 7 together, 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finally grounds 8, 9 and 10 together. I propose to follow the same order except that I shall deal with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6 and 11 last.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Respondent’s possession or occupation of the suit land</w:t>
      </w:r>
      <w:r w:rsidR="00DE19C7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first three grounds of appeal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manner in which the Court of Appeal evaluated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the failure to consider the appellant’s submissions and the holding that the respondent was in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or occupation of the suit land since 1970.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main argument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Ojambo</w:t>
      </w:r>
      <w:proofErr w:type="spellEnd"/>
      <w:r>
        <w:rPr>
          <w:rFonts w:ascii="Times New Roman" w:hAnsi="Times New Roman" w:cs="Times New Roman"/>
          <w:color w:val="000000"/>
        </w:rPr>
        <w:t>, learned Counsel for the appellant, on the three grounds was that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Justices of the court failed to address themselves to the main issue, which was whether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occupied or possessed the suit land since 1970. This was the first issue framed at the trial.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Instead, learned Counsel argued, the learned Justices of Appeal held that there was overwhelming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that the suit land was in exclusive possession of the respondent, whereas they were referring to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possession since 1999 when there was a site inspection of the suit land. Learned counsel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there was no evidence that the toilet was used after construction by their tenants 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workers. He submitted that PW2 was only there in 1988 and not in 1970, and PW8 was not there since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1989.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Referring to admitted facts, he submitted that fact 11 was not admitted and contended that the learned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Justices of Appeal failed to look for the evidence that the suit property was derived from the statutory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lease. He submitted that Article </w:t>
      </w:r>
      <w:r>
        <w:rPr>
          <w:rFonts w:ascii="Times New Roman" w:hAnsi="Times New Roman" w:cs="Times New Roman"/>
          <w:color w:val="000000"/>
        </w:rPr>
        <w:lastRenderedPageBreak/>
        <w:t>285 of the Constitution abolished statutory leases to urban authorities,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this was not considered by the Court of Appeal.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Mutawe</w:t>
      </w:r>
      <w:proofErr w:type="spellEnd"/>
      <w:r>
        <w:rPr>
          <w:rFonts w:ascii="Times New Roman" w:hAnsi="Times New Roman" w:cs="Times New Roman"/>
          <w:color w:val="000000"/>
        </w:rPr>
        <w:t>, learned Counsel for the respondent, submitted that ground one had no merit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 learned Justice of Appeal had considered the appellants submission in their judgment. As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regards the evidence of a toilet, counsel submitted that the minutes of the first appellant admit that there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water-borne toilet in the middle of the plot belonging to the respondent. He referred to evidence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PW5, who testified that the workers continued to use the toilet, and was also used during public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functions.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admission of fact number 11 counsel submitted that plots 18/SW/1 and 18/SW/2 were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adjacent to each other and that the certificate of the respondent is derived from sheet 18/SW/1.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lead judgment,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JA found overwhelming evidence that the respondent was in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exclusive possession of the suit land since 1970. He relied on the evidence of PW1, PW2, PW5, PW6,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PW8 and PW9. The learned Justices of Appeal held that their evidence showed that between 1970 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2001 when it was allocated to the second appellant, it was used by the respondent to facilitate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construction of Bugolobi flats, to be used as a playground, and open space for the children of tenants, to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 a public toilet for the respondent’s cleaners and to serve residents at local council meetings, to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lay sewage lines and water pipes of the respondents flats, and to provide tenants space for drying clothes.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also evidence that the suit land was fenced off by the respondent, that its mark-stones were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within the fence erected by the respondent in 1970 and that the respondent’s occupation was never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challenged by anyone till the land was allocated to the second appellant. Minutes of the meeting of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appellant board held in May 1999 (exhibit P12) confirmed that when the site (suit land) was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inspected on 12 May 1999 to assess the situation on the ground, it was “confirmed that plot M597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appears to be part of the National Housing and Construction Estate (block of flats) though a copy of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deed plan did not indicate so. There seemed to be no access to this plot. There was also a water borne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toilet in the middle of this plot belonging to the National Housing and Construction Corporation.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plot looked well-maintained”.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Further</w:t>
      </w:r>
      <w:proofErr w:type="gramStart"/>
      <w:r>
        <w:rPr>
          <w:rFonts w:ascii="Times New Roman" w:hAnsi="Times New Roman" w:cs="Times New Roman"/>
          <w:color w:val="000000"/>
        </w:rPr>
        <w:t>,in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a letter dated 22 September 1999, Kampala City Council acknowledged that the respondent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installed water pipes on the land in a letter they wrote to it requesting it “to remove the water pipes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you have installed on plot M597 as soon as possible”.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Justice of Appeal concluded: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“Clearly these admissions put the matter of possession of the suit before allocation, firmly in the hands of the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 (now respondent). The respondents (now appellants) themselves did not call any evidence to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challenge this state of affairs.”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my view that the learned Justices of Appeal were justified in coming to that conclusion.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on records was adequately re-evaluated before coming to the findings to which I have already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ample evidence to support the findings that the respondent had been in possession of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suit land for a long time and had effectively </w:t>
      </w:r>
      <w:proofErr w:type="spellStart"/>
      <w:r>
        <w:rPr>
          <w:rFonts w:ascii="Times New Roman" w:hAnsi="Times New Roman" w:cs="Times New Roman"/>
          <w:color w:val="000000"/>
        </w:rPr>
        <w:t>utilised</w:t>
      </w:r>
      <w:proofErr w:type="spellEnd"/>
      <w:r>
        <w:rPr>
          <w:rFonts w:ascii="Times New Roman" w:hAnsi="Times New Roman" w:cs="Times New Roman"/>
          <w:color w:val="000000"/>
        </w:rPr>
        <w:t xml:space="preserve"> it for various purposes including building a public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toilet on it, passing underground pipes under it, and using it as a playground. Besides there was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undisputed evidence that the plot had been fenced with chain-link and steel angle bars. This is the effect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testimony of </w:t>
      </w:r>
      <w:proofErr w:type="spellStart"/>
      <w:r>
        <w:rPr>
          <w:rFonts w:ascii="Times New Roman" w:hAnsi="Times New Roman" w:cs="Times New Roman"/>
          <w:color w:val="000000"/>
        </w:rPr>
        <w:t>Nkoba</w:t>
      </w:r>
      <w:proofErr w:type="spellEnd"/>
      <w:r>
        <w:rPr>
          <w:rFonts w:ascii="Times New Roman" w:hAnsi="Times New Roman" w:cs="Times New Roman"/>
          <w:color w:val="000000"/>
        </w:rPr>
        <w:t xml:space="preserve"> Jack Vincent (PW1), a land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surveyor with the respondent, Ham </w:t>
      </w:r>
      <w:proofErr w:type="spellStart"/>
      <w:r>
        <w:rPr>
          <w:rFonts w:ascii="Times New Roman" w:hAnsi="Times New Roman" w:cs="Times New Roman"/>
          <w:color w:val="000000"/>
        </w:rPr>
        <w:t>Tumuhairwe</w:t>
      </w:r>
      <w:proofErr w:type="spellEnd"/>
      <w:r>
        <w:rPr>
          <w:rFonts w:ascii="Times New Roman" w:hAnsi="Times New Roman" w:cs="Times New Roman"/>
          <w:color w:val="000000"/>
        </w:rPr>
        <w:t xml:space="preserve"> (PW2), the housing manager of the respondent 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Baryayaga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Purunari</w:t>
      </w:r>
      <w:proofErr w:type="spellEnd"/>
      <w:r>
        <w:rPr>
          <w:rFonts w:ascii="Times New Roman" w:hAnsi="Times New Roman" w:cs="Times New Roman"/>
          <w:color w:val="000000"/>
        </w:rPr>
        <w:t xml:space="preserve"> (PW8), the Supervisor of Employees of the respondent.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PW2 and PW8 confirmed that the public toilet was constructed around 1971 as part of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construction of the whole estate. They also testified that the suit land was fenced though the Bugolobi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flats were then occupied by soldiers as barracks (from 1971-1979). These two witnesses were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knowledgeable people who had worked with the respondent for between 12 and 29 years. Their evidence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contradicted or discredited by the appellants, who called no evidence. Grounds 1, 2 and 3 have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merit and should therefore fail.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Whether the land occupied by the respondent was registered land</w:t>
      </w:r>
      <w:r w:rsidR="00DE19C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4, 5 and 7 raised the question whether the respondent was a bona fide occupant of registered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land. They challenge the findings of the Court of Appeal that: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suit land was registered land on the coming into force of the 1995 Constitution,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existence of a plot number for the suit land meant that it was registered, and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the respondent was a bona fide occupant of the suit land.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Nerim</w:t>
      </w:r>
      <w:r>
        <w:rPr>
          <w:rFonts w:ascii="Times New Roman" w:hAnsi="Times New Roman" w:cs="Times New Roman"/>
          <w:color w:val="000000"/>
        </w:rPr>
        <w:t>a for the appellants submitted that the respondent was not a bona fide occupant because the suit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was unregistered. He referred to Article 237(9) of the Constitution which empowered Parliament to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a law regulating the relationship between a bona fide occupant and a registered owner, 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Parliament had defined a bona fide occupant in section 29(2)(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Land Act as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Bona fide occupant means a person who before the coming into force of the Constitution: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h ad occupied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utilised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developed any land, unchallenged by the registered owner or agent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registered owner for twelve years or more; or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h ad been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settled on the land by the Government or an agent of the Government, which may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include a local authority.”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pointed out that section 31(1) of the Land Act gives security of tenure to a tenant on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 land, and provides that “a tenant, by occupancy on registered land, shall enjoy security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occupancy on the land”.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contended that section 31(2), (3), (4), (6) and (7), and section 33(1), (2) and (7), section 34(3), (4)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(5), section 36(1), section 37(2)(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section 38 (2), (3) and (4) all transactions by a bona fide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occupant presupposed a registered owner. The respondent’s witnesses namely PW1, PW3 and PW4, 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argued, conceded that the suit land was unregistered. Learned counsel also contended that the advocate,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carried out the search, testified that the plot had never been registered. The advocate had lodged a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caveat on behalf of the respondent to stop the suit land being brought under the Registration of Titles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Act. He pointed out that the City Council of Kampala was granted a lease in 1970.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Nerim</w:t>
      </w:r>
      <w:r>
        <w:rPr>
          <w:rFonts w:ascii="Times New Roman" w:hAnsi="Times New Roman" w:cs="Times New Roman"/>
          <w:color w:val="000000"/>
        </w:rPr>
        <w:t>a, further contended that it was a misdirection for the Court of Appeal to hold that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existence of a plot number meant that the land was registered. It was his contention that under section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1(2) of the Land Act, registered owner means “a registered owner in accordance with the Registration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Titles Act.” He argued that registration occurs where a certificate of title is issued, not in this case where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 had only been surveyed.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alternative,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Nerim</w:t>
      </w:r>
      <w:r>
        <w:rPr>
          <w:rFonts w:ascii="Times New Roman" w:hAnsi="Times New Roman" w:cs="Times New Roman"/>
          <w:color w:val="000000"/>
        </w:rPr>
        <w:t>a submitted that if the suit land was registered in the name of the City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Council, the lease was abolished by Article 285 of the Constitution. According to the Land Act, counsel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contended, land which is unregistered was transferred to the District Land Board. It was counsel’s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 that when the land was allocated in 1999 to the second appellant, there was no registered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owner. Therefore, the respondent could not qualify to be a bona fide occupant, he concluded.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respondent,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City Council had title to the suit land which was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registered. He referred to the evidence in exhibit P13, the minutes of the meeting of the first appellant,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City Council was the registered proprietor of the suit land and it never challenged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occupancy. Minute KDLB.23/8/2000 read in part: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“At the request of the Board, the city advocate in her memo dated November 1 1999, advised that section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30(2)(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Land Act number 16 1998 protected National Housing Corporation as a bona fide occupant.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Before the coming into force of the Constitution 1995, Kampala City Council was the registered owner of the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land under a statutory lease and there were no records showing that it ever challenged the corporation’s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occupancy. In this regard, National Housing Corporation was in the category of “bona fide occupant” and all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rights accruing to a bona fide occupant accrue to National Housing Corporation.”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also referred to the existence of exhibit P10 which is a copy of a certificate of title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issued to Kampala City Council in 1970 in respect of the land comprised in Leasehold Register Volume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196, Folio 6 with an accompanying copy of a statutory lease which covered the suit land. It was counsel’s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 that these two exhibits contained admissions under section 19 of the Evidence Act which no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oral evidence could displace. He argued that although on the coming into force of the Constitution,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leases were abolished, there was no law which deprived those having rights in land of their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contended further that the Land Act 1998 protected the respondent as a bona fide occupant.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coming into force of the Constitution 1995, Kampala City Council was the registered owner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 under a statutory lease and there were no records showing that it ever challenged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occupancy. In this regard, the respondent was in the category of “bona fide occupant” 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accruing to a bona fide occupant accrue to the respondent.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dealing with the question whether the respondent was a bona fide occupant of registered land,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JA in his lead judgment observed;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“In the instant case, the appellants proved that it had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utilised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suit land for 25 years unchallenged before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coming into force of the 1995 Constitution. The learned trial Judge erred to hold that the appellant was not a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bona fide occupant. He seems to have arrived in this conclusion basing on his earlier finding that the suit land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not registered and that therefore, there was no registered owner. With respect, that holding was not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correct as I have indicated when considering ground two above. The mere fact that the suit land was known as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Plot M597 Luthuli Second Close Bugolobi between 1970 and 2001 suggests that the plot was registered. If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inference is correct then it must have been registered in the names of someone.”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second ground of appeal in the Court of Appeal which the learned Justice of Appeal was referring to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to the effect that the trial judge had erred in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holding that there was no registered owner of the suit land on the day the 1995 Constitution came into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force. The learned Justice of Appeal considered the facts, which had been admitted at the trial, which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“9.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second defendant’s Title LRV 2860, Folio 20 issued on 25 January 2001 is derived from Sheet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 71/1/18/SW/2.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10. 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ampala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Municipal Council was the registered proprietor of land under a Statutory Lease LVR 254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Folio 6.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sheet number 71/1/18/SW/12 is reflected on the key plan of the land under Statutory Lease 254,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Folio 6 above.”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lastRenderedPageBreak/>
        <w:t>learned Justice of Appeal then concluded: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“These three admitted facts clearly establish that the suit land was the registered property of Kampala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Municipal Council. Under section 56 of the Evidence Act, those facts once admitted needed no further proof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were no longer in issue. I would respectfully disagree with the learned trial Judge’s holding that “there is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 evidence at all of registration of the land prior to 25 January 2001”. I would hold that the suit land formed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 of the statutory lease which was granted to Kampala Municipal Council and was therefore registered as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 property. I find no evidence on record that could contradict the above holding of fact. The logical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inference from this holding is that on the coming into force of the 1995 Constitution, the suit land was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registered property of Kampala City Council. This ground of appeal succeeds.”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am unable to fault the conclusions reached by the learned Justice of Appeal, with whom other members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 of Appeal agreed.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already held that the respondent had been in occupation or possession of the suit land for more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twelve years at the time of coming into force of the 1995 Constitution. The respondent had not only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occupied the land but had also </w:t>
      </w:r>
      <w:proofErr w:type="spellStart"/>
      <w:r>
        <w:rPr>
          <w:rFonts w:ascii="Times New Roman" w:hAnsi="Times New Roman" w:cs="Times New Roman"/>
          <w:color w:val="000000"/>
        </w:rPr>
        <w:t>utilised</w:t>
      </w:r>
      <w:proofErr w:type="spellEnd"/>
      <w:r>
        <w:rPr>
          <w:rFonts w:ascii="Times New Roman" w:hAnsi="Times New Roman" w:cs="Times New Roman"/>
          <w:color w:val="000000"/>
        </w:rPr>
        <w:t xml:space="preserve"> it, without any challenge from Kampala City Council.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was entitled to enjoy its occupancy in accordance with Article 237(8) of the Constitution 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31(1) of the Land Act if the suit land was registered land.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on record was, in my view, sufficient to establish that the suit land was registered. It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merely surveyed land as submitted by learned Counsel for the appellants. The suit land was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adjacent to the lease granted by Kampala City Council as the urban authority to the respondent 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 on 1 May 1969 for 99 years, on which the various blocks of flats were constructed. The head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lease granted Kampala City Council by the Uganda Land Commission on 17 December 1970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included both the lease granted to the respondent comprised in Leasehold Register Volume 796,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Folio 6 and the unallocated suit land adjacent to it, marked as plot M597. The statutory lease comprised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“All that part of public land contained within the present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gazetted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boundaries of the City of Kampala shown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for the purposes of identification only on the plan marked “A” hereto annexed and thereon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coloured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blue (but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save and except the land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coloured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green on the 24 plans marked “B”, “C”, “D”, “D1”, “D2”, “E”, “F”, “G”,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“H”, “I1”, “I2”, “J”, “K”, “L”, “M”, “N”, “O”, “P”, “Q”, “R”, “S”, “T”, “W”, “X” and “Y” here annexed).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To</w:t>
      </w:r>
      <w:r w:rsidR="00DE19C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hold </w:t>
      </w:r>
      <w:r>
        <w:rPr>
          <w:rFonts w:ascii="Times New Roman" w:hAnsi="Times New Roman" w:cs="Times New Roman"/>
          <w:color w:val="000000"/>
          <w:sz w:val="20"/>
          <w:szCs w:val="20"/>
        </w:rPr>
        <w:t>the same to the Lessee for the term of 190 (one hundred and ninety years and 10 months from the first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day of May 1970. . 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land granted to Kampala City Council was delineated and divided into plots which were marked. It is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clear from the key plan of the land comprised in this folio (except </w:t>
      </w:r>
      <w:proofErr w:type="spellStart"/>
      <w:r>
        <w:rPr>
          <w:rFonts w:ascii="Times New Roman" w:hAnsi="Times New Roman" w:cs="Times New Roman"/>
          <w:color w:val="000000"/>
        </w:rPr>
        <w:t>mailo</w:t>
      </w:r>
      <w:proofErr w:type="spellEnd"/>
      <w:r>
        <w:rPr>
          <w:rFonts w:ascii="Times New Roman" w:hAnsi="Times New Roman" w:cs="Times New Roman"/>
          <w:color w:val="000000"/>
        </w:rPr>
        <w:t xml:space="preserve"> and freehold land and shown in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blue) that the suit land was included and marked as plot number M597. </w:t>
      </w:r>
      <w:proofErr w:type="gramStart"/>
      <w:r>
        <w:rPr>
          <w:rFonts w:ascii="Times New Roman" w:hAnsi="Times New Roman" w:cs="Times New Roman"/>
          <w:color w:val="000000"/>
        </w:rPr>
        <w:t>this</w:t>
      </w:r>
      <w:proofErr w:type="gramEnd"/>
      <w:r>
        <w:rPr>
          <w:rFonts w:ascii="Times New Roman" w:hAnsi="Times New Roman" w:cs="Times New Roman"/>
          <w:color w:val="000000"/>
        </w:rPr>
        <w:t xml:space="preserve"> plot also reflected in Sheet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71/1/18/SW/2 which is also reflected in the Statutory Lease Volume 525, Folio 6.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view, therefore, the suit land formed part of statutory lease granted to Kampala City Council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was registered in the Council’s name. Accordingly, the respondent was a bona fide occupant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 land at the time the 1995 Constitution was made.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Nerim</w:t>
      </w:r>
      <w:r>
        <w:rPr>
          <w:rFonts w:ascii="Times New Roman" w:hAnsi="Times New Roman" w:cs="Times New Roman"/>
          <w:color w:val="000000"/>
        </w:rPr>
        <w:t>a, learned Counsel for the appellant, argued, in the alternative, that the 1995 Constitution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abolished statutory leases and therefore the respondent was not a bona fide occupant of registered land.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 conceded that on the coming into force of the Constitution,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leases were abolished, but contended that this did not mean that all those having rights in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comprising the statutory lease lost their rights. Indeed in the third ground for affirming the decision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 of Appeal, the respondent contends that although the 1995 Constitution abolished statutory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leases, it did not declare the said, leases to have been null and void </w:t>
      </w:r>
      <w:r>
        <w:rPr>
          <w:rFonts w:ascii="Times New Roman" w:hAnsi="Times New Roman" w:cs="Times New Roman"/>
          <w:i/>
          <w:iCs/>
          <w:color w:val="000000"/>
        </w:rPr>
        <w:t>ab initio</w:t>
      </w:r>
      <w:r>
        <w:rPr>
          <w:rFonts w:ascii="Times New Roman" w:hAnsi="Times New Roman" w:cs="Times New Roman"/>
          <w:color w:val="000000"/>
        </w:rPr>
        <w:t>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 it is well settled that the Constitution abolished statutory leases. Article 285 of the Constitution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“Upon the coming into force of this Constitution and subject to the provision of paragraph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clause (2) of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Article 237 of the Constitution, statutory leases to urban authorities shall cease to exist.”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effect of this provision is that the statutory lease granted to the City Council by the Uganda Land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in 1970 was extinguished on the coming into force of the Constitution.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Kampala City Council ceased to be the registered owner of the suit land on the coming into force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Constitution. That would mean that the respondent ceased to be a bona fide occupant of the City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Council, as the registered owner.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fundamental question to be answered is what happened to the land previously held by the City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 as a controlling authority, and those interests granted or held under the extinguished statutory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lease.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must be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Constitution made far reaching changes in the system of land holding in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and the manner of control and management of land. By virtue of Article 23(1) of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Constitution,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“Land in Uganda belongs to the citizens of Uganda and shall vest in them in accordance with the land tenure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systems provided for in this Constitution.”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land tenure systems provided are customary, freehold, </w:t>
      </w:r>
      <w:proofErr w:type="spellStart"/>
      <w:r>
        <w:rPr>
          <w:rFonts w:ascii="Times New Roman" w:hAnsi="Times New Roman" w:cs="Times New Roman"/>
          <w:color w:val="000000"/>
        </w:rPr>
        <w:t>mailo</w:t>
      </w:r>
      <w:proofErr w:type="spellEnd"/>
      <w:r>
        <w:rPr>
          <w:rFonts w:ascii="Times New Roman" w:hAnsi="Times New Roman" w:cs="Times New Roman"/>
          <w:color w:val="000000"/>
        </w:rPr>
        <w:t xml:space="preserve"> and leasehold. Provisions were made in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to protect the rights of these tenants in occupation of registered land institutions for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holding </w:t>
      </w:r>
      <w:r>
        <w:rPr>
          <w:rFonts w:ascii="Times New Roman" w:hAnsi="Times New Roman" w:cs="Times New Roman"/>
          <w:color w:val="000000"/>
        </w:rPr>
        <w:lastRenderedPageBreak/>
        <w:t>and allocation of land, and for effective resolution of land disputes, were established.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Subsequently, the Land Act was made to give effect to the provisions of the Constitution. Among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institutions established were the Uganda Land Commission, the District Land Boards and the Land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Tribunals.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main function of the Land Commission was to hold and manage any land vested in or acquired by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Government of Uganda. The functions of a District Land Board included holding and allocation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in a district which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 owned by any person, and to facilitate the registration and transfer of interests in land.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seems to me, therefore, that the District Land Boards became successors in title to controlling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 or urban authorities in respect of public land which had not been granted or alienated to any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or authority. The District Land Boards became successors by operation of law because land was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vested in them by law, not by grant, transfer or registration, under section 59(8) of Land Act.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case, it is common knowledge that the suit land was vested in the Kampala District Land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 which had jurisdiction to allocate it, if it was not owned by any person or authority. It was argued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 that it was an owner by virtue of being a bona fide occupant of the suit land for over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twelve years. Under the Constitution and the Land Act (Chapter 227), the respondent would ordinarily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enjoyed the protection granted to such tenants, had the statutory leases not been abolished but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contends that the abolition of the statutory lease under which it held the suit land did not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 that its interest in land was thereby abolished or extinguished.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implications of the abolition of statutory leases have not been determined and in my view this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remains a grey area. I am unable to hold that the rights of the respondent, as a tenant in possession held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adversely to the City Council for a long time, were automatically extinguished on the abolition of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lease. In my opinion, the respondent could claim the rights and benefits accruing to a bona fide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occupant of a registered owner, who must be deemed to be the Kampala District Land Board under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59(8) of the Land Act which provides: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board shall hold in trust for the citizens the reversion on any lease to which subsection 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relates and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exercise in relation to the lease and the reversion the powers of the controlling authority under the Public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Lands Act of 1969, as if that Act had not been repealed, but subject to the foregoing, that Act shall in respect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any such lease or reversion, have effect with such modifications as may be necessary to give effect to this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and subject to the provisions of the Constitution.”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I hold that grounds 4, 5 and 7 have no merit and should fail. I would hold that the three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affirming the decision of the Court of Appeal should succeed.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Whether the grant of the lease was fraudulent</w:t>
      </w:r>
      <w:r w:rsidR="00DE19C7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grounds 8, 9 and 10, the appellants complain that the Court of Appeal erred in law in holding that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land was not available for leasing, that the application and registration of the second appellant was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fraudulent and that the doctrine of estoppel was not applicable against the respondent.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Arguing these grounds on behalf of the appellants,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Muhimbura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on ground 8 that since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 in dispute was not registered nor owned by the respondent in accordance with the law, the suit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was available for leasing by the first appellant in accordance with Article 241(1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section 59(1)(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Land Act. Counsel contended that even if the respondent had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a bona fide occupant it would not preclude the first appellant from allocating land to the second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but in this case since the respondent was not a bona fide occupant it could not enjoy security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tenure.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held that the respondent was a bona fide occupant of the suit land and therefore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 was not available for leasing without reference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appellant. I agree with that holding. That holding is consistent with the finding that the respondent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bona fide occupant of the suit land.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bona fide occupant was given security of tenure and his interest could not be alienated except as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by the law. For instance, the bona fide occupant could apply for a certificate of occupancy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33(1) of the Land Act. A bona fide occupant could apply for a lease under section 38 of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Act. While the land occupied by a bona fide occupant could be leased to somebody else, I think that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option would have to be given to the bona fide occupant. As this was not done, in the present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the suit land was not available for leasing to the second appellant. Ground 8 should, therefore, fail.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regard to the holding that the second appellant acquired the suit land by fraud,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Muhimbura</w:t>
      </w:r>
      <w:proofErr w:type="spellEnd"/>
      <w:r w:rsidR="00DE19C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that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JA in his lead judgment based his finding of fraud on three grounds.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ground is that both appellants knew that the suit land was in the possession of the respondent at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it was registered in the name of the second appellant. Counsel argued that there was no evidence in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that the two appellants knew that the respondent was in possession of the suit land.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second ground was that the respondent protested to the first appellant but the protests were </w:t>
      </w:r>
      <w:r>
        <w:rPr>
          <w:rFonts w:ascii="Times New Roman" w:hAnsi="Times New Roman" w:cs="Times New Roman"/>
          <w:color w:val="000000"/>
        </w:rPr>
        <w:lastRenderedPageBreak/>
        <w:t xml:space="preserve">ignored.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DE1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Muhimbura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protests came in 2001, after the allocation of the suit land to the first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in 1999.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ground, on which fraud was based, was that no proper procedure was followed in granting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transferring the land to the respondent. Learned counsel argued that the suit land was allocated in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 but the Land Regulations were made in 2001, and were therefore inapplicable.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 submitted that the lease to the second appellant was irregularly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accepted. He pointed out that the second appellant was required to accept the offer within one month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date of offer which was 2 June 1999. The offer should, therefore, have been accepted by 3 July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1999. However, by the time counsel for the respondent wrote the letter of protest to the first appellant on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 July 1999, the second respondent had not accepted the offer as stipulated in the lease offer.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submitted that there was plenty of evidence to establish fraud. The first piece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he referred to was exhibit P1 which was a letter dated 29 July 1999 from the second appellant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first appellant where the former claimed that the suit land was part of the late </w:t>
      </w:r>
      <w:proofErr w:type="spellStart"/>
      <w:r>
        <w:rPr>
          <w:rFonts w:ascii="Times New Roman" w:hAnsi="Times New Roman" w:cs="Times New Roman"/>
          <w:color w:val="000000"/>
        </w:rPr>
        <w:t>Muzee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Semakula’s</w:t>
      </w:r>
      <w:proofErr w:type="spellEnd"/>
      <w:r w:rsidR="00DE1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Kibanja</w:t>
      </w:r>
      <w:proofErr w:type="spellEnd"/>
      <w:r>
        <w:rPr>
          <w:rFonts w:ascii="Times New Roman" w:hAnsi="Times New Roman" w:cs="Times New Roman"/>
          <w:color w:val="000000"/>
        </w:rPr>
        <w:t xml:space="preserve"> which forms part of the respondents title, and that there was a house at the time the land was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surveyed and that is why it was not included in the title of the respondent. In that letter, the first appellant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claimed that the respondent was trying to steal </w:t>
      </w:r>
      <w:proofErr w:type="spellStart"/>
      <w:r>
        <w:rPr>
          <w:rFonts w:ascii="Times New Roman" w:hAnsi="Times New Roman" w:cs="Times New Roman"/>
          <w:color w:val="000000"/>
        </w:rPr>
        <w:t>Muzee’s</w:t>
      </w:r>
      <w:proofErr w:type="spellEnd"/>
      <w:r>
        <w:rPr>
          <w:rFonts w:ascii="Times New Roman" w:hAnsi="Times New Roman" w:cs="Times New Roman"/>
          <w:color w:val="000000"/>
        </w:rPr>
        <w:t xml:space="preserve"> land. The first appellant said they were willing,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family, to negotiate with respondent if the latter wanted to expand their development.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piece of evidence of fraud according to learned Counsel, was exhibit P2, a letter from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managing director of the first appellant-Silver </w:t>
      </w:r>
      <w:proofErr w:type="spellStart"/>
      <w:r>
        <w:rPr>
          <w:rFonts w:ascii="Times New Roman" w:hAnsi="Times New Roman" w:cs="Times New Roman"/>
          <w:color w:val="000000"/>
        </w:rPr>
        <w:t>Byaruhanga</w:t>
      </w:r>
      <w:proofErr w:type="spellEnd"/>
      <w:r>
        <w:rPr>
          <w:rFonts w:ascii="Times New Roman" w:hAnsi="Times New Roman" w:cs="Times New Roman"/>
          <w:color w:val="000000"/>
        </w:rPr>
        <w:t>, dated 8 August 1999 addressed to the second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which when considered together with exhibit 12 which contains minutes of the meeting of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appellant clearly showed that there was no access road to the suit land. The minutes stated that,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“There also seemed to be no access to this plot.”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second appellant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confessed to having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bribed the workers of the first appellant in order to grant him a road. This was contained in exhibit P2,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second appellant stated: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“When they were surveying, I approached the people on site. We talked to each other and I asked them a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tricky question, “Does your plan also provide new roads?” And they said, “Where necessary.” I also asked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them to get me a plan for that land and they told me that they can do it if I have interest. After the job, I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indeed gave them a tip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1.5 million. To me I was buying the road and I got my deal and I am left with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 balance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500 000 to be paid later.”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third piece of evidence is exhibit P3 which is a letter dated 5 October 2000 from the second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to the first appellant applying for change of status and revision of premium and ground rent on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land. The second appellant requested the first appellant to “revisit our case and approve our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as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kibanja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Chemical Distributors, thus giving us fresh terms.”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the change of status was explained in minute KDLB 52/58/99, where it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stated that the second appellant had provided evidence in support of their customary ownership/bona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fide purchaser which included the original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kibanja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 dated 23 July 1971 and two sale agreements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24 April 1984 and 1 February 1991, thus satisfying the first appellant that the second appellant had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acquired the land from the original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kibanja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owners. The first appellant, therefore, confirmed the earlier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allocation under minute KDLB 53/53.8/99 of 22 May 1999 and rejected the application of the respondent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ground that when it visited the suit land, on 18 August 1999, they found the existing facility which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a toilet, not in use and neglected.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this showed that the advice of the city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was correct and that is why the second appellant was asked to be granted the suit land as a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customary tenant, and it was duly granted as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kibanja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fourth evidence of fraud, according to learned Counsel, is that under exhibit P12 it was claimed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first appellant’s minutes that the toilet was water borne whereas according to a letter dated 29 June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1999, the toilet was not in use, and the plot was </w:t>
      </w:r>
      <w:proofErr w:type="spellStart"/>
      <w:r>
        <w:rPr>
          <w:rFonts w:ascii="Times New Roman" w:hAnsi="Times New Roman" w:cs="Times New Roman"/>
          <w:color w:val="000000"/>
        </w:rPr>
        <w:t>underutilised</w:t>
      </w:r>
      <w:proofErr w:type="spellEnd"/>
      <w:r>
        <w:rPr>
          <w:rFonts w:ascii="Times New Roman" w:hAnsi="Times New Roman" w:cs="Times New Roman"/>
          <w:color w:val="000000"/>
        </w:rPr>
        <w:t>. This could not be true given the fact that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were staying there.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submitted by counsel that the fifth piece of evidence admitted facts number 34 and number 37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indicated that the first appellant </w:t>
      </w:r>
      <w:proofErr w:type="spellStart"/>
      <w:r>
        <w:rPr>
          <w:rFonts w:ascii="Times New Roman" w:hAnsi="Times New Roman" w:cs="Times New Roman"/>
          <w:color w:val="000000"/>
        </w:rPr>
        <w:t>organised</w:t>
      </w:r>
      <w:proofErr w:type="spellEnd"/>
      <w:r>
        <w:rPr>
          <w:rFonts w:ascii="Times New Roman" w:hAnsi="Times New Roman" w:cs="Times New Roman"/>
          <w:color w:val="000000"/>
        </w:rPr>
        <w:t xml:space="preserve"> site inspection and went to the suit land without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informing the respondent. Furthermore, the respondent’s protestations were ignored, and yet both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knew of the respondent’s interest. He submitted that the appellants were consciously defeating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unregistered interest of the respondent, and yet the respondent was entitled to a hearing before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of the first appellant was granted.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lead judgment,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JA, took into account the fact that the appellants knew that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land was in possession of the respondent and despite protests from the respondent, and residents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estate of the respondent, the protests were ignored as the respondent was not given any hearing before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 interest was transferred to the second appellant. The learned Justice of Appeal also held </w:t>
      </w:r>
      <w:r>
        <w:rPr>
          <w:rFonts w:ascii="Times New Roman" w:hAnsi="Times New Roman" w:cs="Times New Roman"/>
          <w:color w:val="000000"/>
        </w:rPr>
        <w:lastRenderedPageBreak/>
        <w:t>that if a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procures registration to defeat an existing unregistered interest on the part of another person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he is proved to have knowledge, then such a person is guilty of fraud on the authority of </w:t>
      </w:r>
      <w:r>
        <w:rPr>
          <w:rFonts w:ascii="Times New Roman" w:hAnsi="Times New Roman" w:cs="Times New Roman"/>
          <w:i/>
          <w:iCs/>
          <w:color w:val="000000"/>
        </w:rPr>
        <w:t>John</w:t>
      </w:r>
      <w:r w:rsidR="00DE19C7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Katarikawe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William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Katweremu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(1977) HCB 187. He also held that a deliberate failure to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 prescribed procedure or to deceive that the land is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 for leasing or to deny the respondent a fair hearing, amounted to fraud. The learned Justice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held that the fraud alleged in this case was also attributable to the transferee, the second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 The learned Justice of Appeal concluded: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“By insisting on registration of the suit land in favour of the second respondent in total disregard of the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appellants unregistered interest which they were very much aware of and by failing to follow the right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procedure prescribed by law for transfer of such unregistered interest the respondents (now appellants) were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guilty of fraud which defeats the act of registration.”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I am unable to fault the conclusion reached by the learned Justice of Appeal with whom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members of the Court of Appeal agreed. As both the learned Counsel for the respondent and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Justice of Appeal pointed out there was ample evidence of fraud. From the evidence it is clear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second appellant went out of its way to defeat the interest of the respondent with the support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appellant. The status of the suit land seems to have been changing to suit the interests of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appellants, contrary to the legal advice of the city advocate. The proper procedures, for granting leases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 unallocated land, were flouted in favour of the second appellant.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other hand, the respondent was not given opportunity to be present during the site inspection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to submit objections or to be heard before a lease was granted. The respondent only took initiative to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protest the allocation of the suit land to the second appellant, and its protest, and that of the residents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area, were summarily rejected. In my view, the respondent should have been informed of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intention to grant the lease of the land in its possession, and given the first option to apply for it, if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appellant wanted the suit land to be fully developed.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well settled that a certificate of title is indefeasible except on the ground of fraud. Section 64(1)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Registration of Titles Act (Chapter 230) provides: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“Notwithstanding the existence in any other person of any estate or interest, whether derived by grant or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otherwise which but for this Act, might be held to be paramount or to have priority, the proprietor of land or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any estate or interest in land subject to such encumbrances as are notified on the folium of the register book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constituted by the certificate of title; but absolutely free from all other encumbrances whatsoever, except the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estate or interest of a proprietor claiming the same land under a prior registered certificate of title, and except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regards any portion of land that by wrong description of parcels or boundaries is included in the certificate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title or instrument evidencing the title of such proprietor not being a purchaser for valuable consideration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derived from or through such a purchaser.”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Therefore under section 176 of the Registration of Titles Act, a registered proprietor is protected against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ejectment except in certain cases, including fraud.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indefeasibility of title on ground of fraud has been considered in a number of decisions in our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Courts. In </w:t>
      </w:r>
      <w:r>
        <w:rPr>
          <w:rFonts w:ascii="Times New Roman" w:hAnsi="Times New Roman" w:cs="Times New Roman"/>
          <w:i/>
          <w:iCs/>
          <w:color w:val="000000"/>
        </w:rPr>
        <w:t xml:space="preserve">Kampala Bottles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Daminico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Ltd </w:t>
      </w:r>
      <w:r>
        <w:rPr>
          <w:rFonts w:ascii="Times New Roman" w:hAnsi="Times New Roman" w:cs="Times New Roman"/>
          <w:color w:val="000000"/>
        </w:rPr>
        <w:t>[1990-94] EA, this Court approved the definition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fraud by the trial judge as follows: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“It is well established that fraud means actual fraud or some act of dishonesty.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Waimiha Saw Milling Co.</w:t>
      </w:r>
      <w:r w:rsidR="00DE19C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Ltd v Laine Timber Co Ltd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[1926] AC 101 at 106, Lord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Buchmaster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said, ‘Now fraud implies some act of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dishonesty.’ Lord Lindley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Assets Co. v Mere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Roihi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(1950) AC 176 states, ‘Fraud in these actions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actions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seeking want to effect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a registered titles) means actual fraud, dishonesty of some sort or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is called constructive fraud, an unfortunate expression, and one very apt to mislead, but often used for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want of a better term, to denote transactions in equity similar to those which flow from fraud.”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now well settled that to procure registration of title in order to defeat an unregistered interest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amounts to fraud. In </w:t>
      </w:r>
      <w:r>
        <w:rPr>
          <w:rFonts w:ascii="Times New Roman" w:hAnsi="Times New Roman" w:cs="Times New Roman"/>
          <w:i/>
          <w:iCs/>
          <w:color w:val="000000"/>
        </w:rPr>
        <w:t xml:space="preserve">Marko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Matovu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Mohammed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Ssevivi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</w:t>
      </w:r>
      <w:r>
        <w:rPr>
          <w:rFonts w:ascii="Times New Roman" w:hAnsi="Times New Roman" w:cs="Times New Roman"/>
          <w:color w:val="000000"/>
        </w:rPr>
        <w:t>, civil appeal number 7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1978 (CA),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Sijaka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Nalima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Rebecca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Musoke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civil appeal number 12 of 1985 (SC) and </w:t>
      </w:r>
      <w:r>
        <w:rPr>
          <w:rFonts w:ascii="Times New Roman" w:hAnsi="Times New Roman" w:cs="Times New Roman"/>
          <w:i/>
          <w:iCs/>
          <w:color w:val="000000"/>
        </w:rPr>
        <w:t>Uganda Posts</w:t>
      </w:r>
      <w:r w:rsidR="00DE19C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and Telecommunications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Lutaaya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civil appeal number 36 of 1995 (SC) this Court approved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holding of the High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Katarikawe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Katwireme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where it was stated: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“Although mere knowledge of unregistered interest cannot be imputed as fraud under the Act, it is my view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where such knowledge is accompanied by a wrongful intention to defeat such existing interest that would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amount to fraud. In the absence of a statutory definition of fraud, I would adopt the definition in a similar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Kenyan statute which defines fraud as fraud shall on the part of a person obtaining registration include a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proved knowledge of the existence of an unregistered interest on the part of some other person, whose interest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 knowingly and wrongfully defeats by such registration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). I take this view because I doubt whether the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framers of the Act ever intended to encourage dishonest dealings in land as manifest in this case.”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case, there was ample evidence of fraud attributable to both appellants that the grant 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 of the suit land in the name of the second appellant was intended to defeat the unregistered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interest of the respondent, and the Court of </w:t>
      </w:r>
      <w:r>
        <w:rPr>
          <w:rFonts w:ascii="Times New Roman" w:hAnsi="Times New Roman" w:cs="Times New Roman"/>
          <w:color w:val="000000"/>
        </w:rPr>
        <w:lastRenderedPageBreak/>
        <w:t>Appeal was justified in coming to that conclusion.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ground 9 has no merit and should fail.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ground 10, the complaint is that the learned Justices of the Court of Appeal erred in law and fact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they held that the doctrine of estoppel was applicable.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Muhimbura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appellants adopted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submissions in the Court of Appeal. He contended that by claiming in the plaint that it was a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customary tenant and later abandoning this claim, the respondent was not sure of its interest in the suit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land. It was his submission that if the respondent knew that it had an interest capable of being protected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law, it would not have applied to the first appellant for a lease over the suit land. Counsel also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respondent lodged a caveat and left it to lapse, and never took steps to stop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 of the suit land.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estoppel did not arise in this case since the case for the respondent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that it had occupied the suit land for 29 years and its lodging the caveat confirmed its claim to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land for which they actually applied to be granted a lease.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judgment,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JA, held that in light of his finding that the registration of the second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tainted with fraud, the doctrine of estoppel did not arise. I am unable to see how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doctrine of estoppel applied against the respondent. The fact that the respondent applied for a lease on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land on 20 July 1999 did not mean that they had no prior interest in the land.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by the respondent was made after the offer of a lease to the second appellant by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appellant which summarily rejected it as an appeal under minute KDLB 23/8/2000 in November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2000. There was nothing in the application to estop the respondent from applying for the suit land. It did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claim to be a customary tenant. Neither did the lapse of the caveat indicate that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ceased to have a claim in the suit land. I am unable to hold that the Court of Appeal erred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holding that the doctrine of estoppel did not apply against the respondent ground 10 should therefore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Relief Granted</w:t>
      </w:r>
      <w:r w:rsidR="00DE19C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complain in ground 6 that the Court of Appeal erred in law and fact when they held that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 belongs to the respondent. In ground 11, the complaint is that the Court of Appeal erred in law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they awarded the respondent damages and ordered the first appellant to lease the suit land to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Nerim</w:t>
      </w:r>
      <w:r>
        <w:rPr>
          <w:rFonts w:ascii="Times New Roman" w:hAnsi="Times New Roman" w:cs="Times New Roman"/>
          <w:color w:val="000000"/>
        </w:rPr>
        <w:t>a, for the appellants, submitted that a bona fide occupancy is not ownership therefore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land cannot belong to the respondent. He argued that ordering the first appellant to lease the suit land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respondent was an error in law and fact. It would have been a proper relief if the action was for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specific performance. All the court could do was to order the first appellant to deal with the application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respondent. The court could not fetter the discretion of the first appellant. Counsel cited the case of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Registered Trustees of Kampala Institute v Departed Asian Property Custodian Board </w:t>
      </w:r>
      <w:r>
        <w:rPr>
          <w:rFonts w:ascii="Times New Roman" w:hAnsi="Times New Roman" w:cs="Times New Roman"/>
          <w:color w:val="000000"/>
        </w:rPr>
        <w:t>civil appeal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21 of 1993 (SC) in support of his submissions.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concluding his judgment,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JA made the following order: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result, I would allow this appeal, set aside the judgment of the High Court dated 3 December 2001 and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enter judgment in favour of the appellant in terms as prayed in the plaint.”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plaint the respondent prayed for a long list of </w:t>
      </w:r>
      <w:proofErr w:type="spellStart"/>
      <w:r>
        <w:rPr>
          <w:rFonts w:ascii="Times New Roman" w:hAnsi="Times New Roman" w:cs="Times New Roman"/>
          <w:color w:val="000000"/>
        </w:rPr>
        <w:t>relief</w:t>
      </w:r>
      <w:proofErr w:type="gramStart"/>
      <w:r>
        <w:rPr>
          <w:rFonts w:ascii="Times New Roman" w:hAnsi="Times New Roman" w:cs="Times New Roman"/>
          <w:color w:val="000000"/>
        </w:rPr>
        <w:t>,which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consisted of the orders specified at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beginning of this judgment. The order complained of was listed under paragraph (</w:t>
      </w:r>
      <w:r>
        <w:rPr>
          <w:rFonts w:ascii="Times New Roman" w:hAnsi="Times New Roman" w:cs="Times New Roman"/>
          <w:i/>
          <w:iCs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), which was an order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directing the first appellant to grant the suit land to the respondent. There was no complaint with the rest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orders granted by the Court of Appeal, which should stand. There was a complaint in ground 11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Court of Appeal erred in awarding the respondent damages. However, the Court of Appeal did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make a specific order in respect of general or punitive damages. The Court of Appeal did not assess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such damages. It is not clear what was the basis or the justification for the claim for such damages. I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 no evidence or grounds to justify the award of such damages. I agree with counsel for the respondent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no such damages were awarded by the Court of Appeal, and none were awardable, therefore,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in paragraph (</w:t>
      </w:r>
      <w:r>
        <w:rPr>
          <w:rFonts w:ascii="Times New Roman" w:hAnsi="Times New Roman" w:cs="Times New Roman"/>
          <w:i/>
          <w:iC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) in the plaint cannot be granted.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already held that the respondent was a bona fide occupant of the suit land. The respondent may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have been a registered owner but the respondent had a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or even registrable interest in the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land belonging to the respondent as tenant possession.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the interest possessed by the respondent did not entitle it to automatic grant of a lease over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land. In my view, the respondent was entitled to apply for a lease over the suit land and to be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the first option to lease the land. I agree that the first appellant had discretion in granting leases but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discretion had to be exercised fairly and justly in accordance with the law.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therefore modify the order granted in paragraph (</w:t>
      </w:r>
      <w:r>
        <w:rPr>
          <w:rFonts w:ascii="Times New Roman" w:hAnsi="Times New Roman" w:cs="Times New Roman"/>
          <w:i/>
          <w:iCs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) in the plaint to read as follows: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order directing the first appellant to give due consideration to the respondent’s application for a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lease over the suit land including giving it priority in granting the lease.”</w:t>
      </w:r>
      <w:r w:rsidR="00DE19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find no merit in grounds 6 and 11 which should substantially fail.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result, this appeal should be dismissed with costs in this Court and the courts </w:t>
      </w:r>
      <w:r>
        <w:rPr>
          <w:rFonts w:ascii="Times New Roman" w:hAnsi="Times New Roman" w:cs="Times New Roman"/>
          <w:color w:val="000000"/>
        </w:rPr>
        <w:lastRenderedPageBreak/>
        <w:t>below.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other members of the court also agree, this appeal is dismissed with costs in this Court and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below.</w:t>
      </w:r>
      <w:r w:rsidR="00DE19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CJ.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appellant: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Nelson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Nerim</w:t>
      </w:r>
      <w:proofErr w:type="spellEnd"/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appellant:</w:t>
      </w:r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Ojambo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Robert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Paul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Muhimbura</w:t>
      </w:r>
      <w:proofErr w:type="spellEnd"/>
    </w:p>
    <w:p w:rsidR="006468B9" w:rsidRDefault="006468B9" w:rsidP="0064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80578A" w:rsidRDefault="006468B9" w:rsidP="006468B9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Geoffrey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Sakwa</w:t>
      </w:r>
      <w:proofErr w:type="spellEnd"/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B9"/>
    <w:rsid w:val="006468B9"/>
    <w:rsid w:val="0080578A"/>
    <w:rsid w:val="00D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631C6-15A1-4C1F-8D6E-67831822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7219</Words>
  <Characters>41154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2018-07-04T19:05:00Z</dcterms:created>
  <dcterms:modified xsi:type="dcterms:W3CDTF">2018-07-12T18:44:00Z</dcterms:modified>
</cp:coreProperties>
</file>