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Kamurasi v Accord Properties Ltd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February 2000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3/96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Oder, Karokora and Kanyeihamba JJSC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Costs – Abuse of court process – Order that costs be paid by Appellant’s counsel – Order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made without affording counsel an opportunity to be heard – Whether there had been an abuse of the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process – Whether the Appellant’s counsel was liable to pay costs.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13040" w:rsidRDefault="000A7088" w:rsidP="00913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25 January 1990, counsel for the Appellant filed a plaint on behalf of the Appellant, KC, against two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Defendants, SE and CS. The plaint was filed and numbered in the registry as civil suit number 46 of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1990. Summons to enter appearance was duly issued by the court but apparently never served on the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Defendants. Some time in March 1990 a second plaint dated 24 January 1990, the same day as the first,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filed with KC and CS named as the Plaintiff and Second Defendant, respectively, but with AP given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First Defendant. This plaint was given the same number as the first in the registry, possibly on 28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1990, and served on the Defendants. The Defendants entered appearance and filed a defence on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 April 1990. Following various applications and adjournments, the suit was heard and proceedings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as if only one plaint had been filed. At the conclusion of the trial, the trial Judge discovered,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a perusal of the record of proceedings and the submissions of the parties, that there had been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plaints filed in court on behalf of the Appellant. On 18 March 1993, he ordered the second plaint to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struck out on the ground of abuse of court process and ordered that the costs be paid by counsel for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himself. The Appellant appealed to the Supreme Court, arguing that although the record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showed that there were two plaints the proceedings had been conducted on the basis of one plaint and the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erred when he held that the existence of two plaints amounted to an abuse of court process.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issue of costs, counsel for the Appellant contended that he had argued the case without negligence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the best of his ability, and also that he had not been afforded an opportunity to be heard before the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against him was made. When the appeal first came before the Supreme Court on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 July 1999, counsel for the Appellant submitted that service on the Respondent had not been effected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applied for an order authorising substituted service through the press. The application was granted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hearing of the appeal was fixed for 9 November 1999 so as to allow enough time to effect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substituted service and permit the Respondents to read the notice and appoint counsel if they wished.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appeal next came up for hearing, counsel produced the advertisements that had appeared in the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press. These showed that the advertisements had been published on 3 November 1999 and had named the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as AP and one C Sebuliba rather than C Ssekisambu named in the plaints.</w:t>
      </w:r>
      <w:r w:rsidR="00913040">
        <w:rPr>
          <w:rFonts w:ascii="Times New Roman" w:hAnsi="Times New Roman" w:cs="Times New Roman"/>
          <w:color w:val="000000"/>
        </w:rPr>
        <w:t xml:space="preserve"> </w:t>
      </w:r>
    </w:p>
    <w:p w:rsidR="00913040" w:rsidRDefault="00913040" w:rsidP="00913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A7088" w:rsidRDefault="000A7088" w:rsidP="00913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was adequate evidence of instances where it appeared that counsel for the Appellant had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wished to short-circuit the court process and had engaged in deception of the trial court. The trial Judge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therefore justified in his finding that there had been an abuse of the court process. Moreover, the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of the Appellant’s counsel in delaying publication of the substituted service coupled with the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deliberate, or otherwise, insertion of wrong parties in the substituted service lent credence to the fact that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had all along planned for the case and appeal to be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party had the right to be given an opportunity to be heard before his rights were prejudiced or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affected by a court’s decision; </w:t>
      </w:r>
      <w:r>
        <w:rPr>
          <w:rFonts w:ascii="Times New Roman" w:hAnsi="Times New Roman" w:cs="Times New Roman"/>
          <w:i/>
          <w:iCs/>
          <w:color w:val="000000"/>
        </w:rPr>
        <w:t xml:space="preserve">R v University of Cambridge </w:t>
      </w:r>
      <w:r>
        <w:rPr>
          <w:rFonts w:ascii="Times New Roman" w:hAnsi="Times New Roman" w:cs="Times New Roman"/>
          <w:color w:val="000000"/>
        </w:rPr>
        <w:t>[1723] 1 Str 557 applied. In this instance,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counsel’s conduct appeared to be blameworthy, justice demanded that he should have been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before being condemned. Accordingly, this ground of appeal would succeed but the appeal would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be dismissed with costs to the Respondent.</w:t>
      </w:r>
      <w:r w:rsidR="009130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 E A Timber Co v Indear Singh G 11 </w:t>
      </w:r>
      <w:r>
        <w:rPr>
          <w:rFonts w:ascii="Times New Roman" w:hAnsi="Times New Roman" w:cs="Times New Roman"/>
          <w:color w:val="000000"/>
        </w:rPr>
        <w:t>[1959] EA 163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JB Kohli and others v Bachulal Popallac </w:t>
      </w:r>
      <w:r>
        <w:rPr>
          <w:rFonts w:ascii="Times New Roman" w:hAnsi="Times New Roman" w:cs="Times New Roman"/>
          <w:color w:val="000000"/>
        </w:rPr>
        <w:t>[1964] EA 219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A7088" w:rsidRDefault="000A7088" w:rsidP="000A7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Abraham v Justin </w:t>
      </w:r>
      <w:r>
        <w:rPr>
          <w:rFonts w:ascii="Times New Roman" w:hAnsi="Times New Roman" w:cs="Times New Roman"/>
          <w:color w:val="000000"/>
        </w:rPr>
        <w:t>[1963] 2 All ER 402</w:t>
      </w:r>
    </w:p>
    <w:p w:rsidR="003F18BF" w:rsidRDefault="000A7088" w:rsidP="000A7088">
      <w:r>
        <w:rPr>
          <w:rFonts w:ascii="Times New Roman" w:hAnsi="Times New Roman" w:cs="Times New Roman"/>
          <w:i/>
          <w:iCs/>
          <w:color w:val="000000"/>
        </w:rPr>
        <w:t>R v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88"/>
    <w:rsid w:val="000A7088"/>
    <w:rsid w:val="003F18BF"/>
    <w:rsid w:val="0091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329C8-6C39-4D72-B3CA-BB1F4C0B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2018-07-05T11:36:00Z</dcterms:created>
  <dcterms:modified xsi:type="dcterms:W3CDTF">2018-07-12T18:45:00Z</dcterms:modified>
</cp:coreProperties>
</file>