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Kanyabwera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Tumwebaze</w:t>
      </w:r>
      <w:proofErr w:type="spellEnd"/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21 February 2005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6/04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Oder,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  <w:r>
        <w:rPr>
          <w:rFonts w:ascii="Times New Roman" w:hAnsi="Times New Roman" w:cs="Times New Roman"/>
          <w:color w:val="000000"/>
        </w:rPr>
        <w:t xml:space="preserve"> JJSC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Appellate procedure – Duty of a first appellate court – Re-evaluation and scrutiny of the evidence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record – Whether the Court of Appeal had discharged its duty.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[2] Civil procedure –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 xml:space="preserve">hearing – Procedure to be followed where party applying for </w:t>
      </w:r>
      <w:r>
        <w:rPr>
          <w:rFonts w:ascii="Times New Roman" w:hAnsi="Times New Roman" w:cs="Times New Roman"/>
          <w:color w:val="000000"/>
        </w:rPr>
        <w:t>ex parte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hearing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not ready to proceed – Whether the trial court erred in permitting suit to proceed </w:t>
      </w:r>
      <w:r>
        <w:rPr>
          <w:rFonts w:ascii="Times New Roman" w:hAnsi="Times New Roman" w:cs="Times New Roman"/>
          <w:color w:val="000000"/>
        </w:rPr>
        <w:t xml:space="preserve">ex parte </w:t>
      </w:r>
      <w:r>
        <w:rPr>
          <w:rFonts w:ascii="Times New Roman" w:hAnsi="Times New Roman" w:cs="Times New Roman"/>
          <w:i/>
          <w:iCs/>
          <w:color w:val="000000"/>
        </w:rPr>
        <w:t>–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Order 9, rule 17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>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color w:val="000000"/>
        </w:rPr>
        <w:t xml:space="preserve">a) </w:t>
      </w:r>
      <w:r>
        <w:rPr>
          <w:rFonts w:ascii="Times New Roman" w:hAnsi="Times New Roman" w:cs="Times New Roman"/>
          <w:i/>
          <w:iCs/>
          <w:color w:val="000000"/>
        </w:rPr>
        <w:t>– Civil Procedure Rules.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Civil procedure – Review – Application for review – Error on the face of the record – Principles to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be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applied in determining existence of error on the face of the record – Absence of affidavit of service –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absence of affidavit amounted to an error on the face of the record.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C7008" w:rsidRDefault="00280787" w:rsidP="001C70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 sued the appellant for damages in negligence arising from a traffic accident. The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appellant filed a written statement of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in which he pleaded contributory negligence on the part of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respondent’s driver. After several adjournments, the trial judge adjourned the hearing on 23 March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1998 and directed the respondent to serve the appellant and to go with the police so that in the event that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refused service, the police could swear an affidavit to that effect. Subsequently, when the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case came up for hearing, the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trial judge recorded that he was satisfied with service and that since neither the appellant nor his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advocates had shown up, the case would proceed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. The case was then heard on various dates after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which judgment was delivered, in the respondent’s favour, on 27 October 2001.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Some time</w:t>
      </w:r>
      <w:proofErr w:type="spellEnd"/>
      <w:r>
        <w:rPr>
          <w:rFonts w:ascii="Times New Roman" w:hAnsi="Times New Roman" w:cs="Times New Roman"/>
          <w:color w:val="000000"/>
        </w:rPr>
        <w:t xml:space="preserve"> later, the appellant filed an application in the High Court seeking an order setting aside the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judgment. The High Court dismissed it on the ground that the trial judge had been satisfied with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service. The appellant then applied to the High Court for a review of its order on the ground that there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an error on the face of the record. This time, the High Court granted the application and set aside the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judgment. The respondent then successfully appealed to the Court of Appeal to have the order of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review set aside and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 restored.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now appealed to the Supreme Court on the grounds that the Court of Appeal erred when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held that there had been service and that the alleged service was proper. Counsel for the appellant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argued,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that it was not sufficient for the trial judge to accept counsel’s submission that the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had been served and that the Court of Appeal should have subjected all the evidence to a fresh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exhaustive re-evaluation. In reply, counsel for the respondent argued that the Court of Appeal had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properly performed its duty and had reached the correct conclusion in holding that the defendant’s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was properly served.</w:t>
      </w:r>
      <w:r w:rsidR="001C7008">
        <w:rPr>
          <w:rFonts w:ascii="Times New Roman" w:hAnsi="Times New Roman" w:cs="Times New Roman"/>
          <w:color w:val="000000"/>
        </w:rPr>
        <w:t xml:space="preserve"> </w:t>
      </w:r>
    </w:p>
    <w:p w:rsidR="001C7008" w:rsidRDefault="001C7008" w:rsidP="001C70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280787" w:rsidRDefault="00280787" w:rsidP="001C700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</w:t>
      </w:r>
      <w:r>
        <w:rPr>
          <w:rFonts w:ascii="Times New Roman" w:hAnsi="Times New Roman" w:cs="Times New Roman"/>
          <w:i/>
          <w:iCs/>
          <w:color w:val="000000"/>
        </w:rPr>
        <w:t xml:space="preserve">Per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Tsekooko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Mulenga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Kanyeihamba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JJSC </w:t>
      </w:r>
      <w:r>
        <w:rPr>
          <w:rFonts w:ascii="Times New Roman" w:hAnsi="Times New Roman" w:cs="Times New Roman"/>
          <w:color w:val="000000"/>
        </w:rPr>
        <w:t>concurring. The ruling made by the trial judge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10 November 1998 had to be read in the context of the record as a whole. Though the ruling was brief,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only reasonable conclusion to be drawn from it was that there was evidence of satisfactory service on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counsel for the appellant. Although the judge omitted to record that he had, in fact, sighted both the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hearing notice and the affidavit of service, he should be presumed to have seen the documents. The Court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of Appeal, therefore, correctly held that there had been effective service of the hearing notice on the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counsel.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It was clear from the record that on the day the trial judge permitted the trial to proceed </w:t>
      </w:r>
      <w:r>
        <w:rPr>
          <w:rFonts w:ascii="Times New Roman" w:hAnsi="Times New Roman" w:cs="Times New Roman"/>
          <w:i/>
          <w:iCs/>
          <w:color w:val="000000"/>
        </w:rPr>
        <w:t>ex parte</w:t>
      </w:r>
      <w:r>
        <w:rPr>
          <w:rFonts w:ascii="Times New Roman" w:hAnsi="Times New Roman" w:cs="Times New Roman"/>
          <w:color w:val="000000"/>
        </w:rPr>
        <w:t>, the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and his counsel were not ready to prosecute the case. In the event, the case was heard on at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least two other later dates following adjournments sought by the respondent. Order 9, rule 17(1</w:t>
      </w:r>
      <w:proofErr w:type="gramStart"/>
      <w:r>
        <w:rPr>
          <w:rFonts w:ascii="Times New Roman" w:hAnsi="Times New Roman" w:cs="Times New Roman"/>
          <w:color w:val="000000"/>
        </w:rPr>
        <w:t>)(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) which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permitted a trial to proceed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 xml:space="preserve">was not intended to allow a party to have indefinite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hearing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without making the other party aware (</w:t>
      </w:r>
      <w:r>
        <w:rPr>
          <w:rFonts w:ascii="Times New Roman" w:hAnsi="Times New Roman" w:cs="Times New Roman"/>
          <w:i/>
          <w:iCs/>
          <w:color w:val="000000"/>
        </w:rPr>
        <w:t>sic</w:t>
      </w:r>
      <w:r>
        <w:rPr>
          <w:rFonts w:ascii="Times New Roman" w:hAnsi="Times New Roman" w:cs="Times New Roman"/>
          <w:color w:val="000000"/>
        </w:rPr>
        <w:t xml:space="preserve">). The trial judge erred in permitting the case to proceed </w:t>
      </w:r>
      <w:r>
        <w:rPr>
          <w:rFonts w:ascii="Times New Roman" w:hAnsi="Times New Roman" w:cs="Times New Roman"/>
          <w:i/>
          <w:iCs/>
          <w:color w:val="000000"/>
        </w:rPr>
        <w:t>ex</w:t>
      </w:r>
      <w:r w:rsidR="001C7008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parte </w:t>
      </w:r>
      <w:r>
        <w:rPr>
          <w:rFonts w:ascii="Times New Roman" w:hAnsi="Times New Roman" w:cs="Times New Roman"/>
          <w:color w:val="000000"/>
        </w:rPr>
        <w:t>when the respondent was not ready to proceed fully and this amounted to an unfair hearing,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sufficient to set aside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judgment.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Per Oder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Karokora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JSC </w:t>
      </w:r>
      <w:r>
        <w:rPr>
          <w:rFonts w:ascii="Times New Roman" w:hAnsi="Times New Roman" w:cs="Times New Roman"/>
          <w:color w:val="000000"/>
        </w:rPr>
        <w:t>concurring. In order for an error to be a ground for review, it had to be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one apparent on the face of the record that did not require any extraneous matter to </w:t>
      </w:r>
      <w:r>
        <w:rPr>
          <w:rFonts w:ascii="Times New Roman" w:hAnsi="Times New Roman" w:cs="Times New Roman"/>
          <w:color w:val="000000"/>
        </w:rPr>
        <w:lastRenderedPageBreak/>
        <w:t>show its correctness.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had to be so manifest that no court would permit it to remain on the record. In this instance, the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absence of an affidavit of service from the record was an error justifying a review of the trial judge’s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refusal to set aside the </w:t>
      </w:r>
      <w:r>
        <w:rPr>
          <w:rFonts w:ascii="Times New Roman" w:hAnsi="Times New Roman" w:cs="Times New Roman"/>
          <w:i/>
          <w:iCs/>
          <w:color w:val="000000"/>
        </w:rPr>
        <w:t xml:space="preserve">ex parte </w:t>
      </w:r>
      <w:r>
        <w:rPr>
          <w:rFonts w:ascii="Times New Roman" w:hAnsi="Times New Roman" w:cs="Times New Roman"/>
          <w:color w:val="000000"/>
        </w:rPr>
        <w:t>judgment. If the Court of Appeal had properly re-evaluated the evidence,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would have concluded that neither the appellant nor his counsel was served with the hearing notice of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suit. The court record did not show that the trial judge had a sight of the returned documents and the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affidavit of service. The absence of the affidavit of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service led to the inevitable conclusion that the hearing notice had not been served.</w:t>
      </w:r>
      <w:r w:rsidR="001C7008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Appeal allowed. Case to be heard </w:t>
      </w:r>
      <w:r>
        <w:rPr>
          <w:rFonts w:ascii="Times New Roman" w:hAnsi="Times New Roman" w:cs="Times New Roman"/>
          <w:i/>
          <w:iCs/>
          <w:color w:val="000000"/>
        </w:rPr>
        <w:t xml:space="preserve">de novo </w:t>
      </w:r>
      <w:r>
        <w:rPr>
          <w:rFonts w:ascii="Times New Roman" w:hAnsi="Times New Roman" w:cs="Times New Roman"/>
          <w:color w:val="000000"/>
        </w:rPr>
        <w:t>by the High Court.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judgment: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Banco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Arabe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Espanol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Bank of Uganda </w:t>
      </w:r>
      <w:r>
        <w:rPr>
          <w:rFonts w:ascii="Times New Roman" w:hAnsi="Times New Roman" w:cs="Times New Roman"/>
          <w:color w:val="000000"/>
        </w:rPr>
        <w:t>[1999] 2 EA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Bogere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Uganda </w:t>
      </w:r>
      <w:r>
        <w:rPr>
          <w:rFonts w:ascii="Times New Roman" w:hAnsi="Times New Roman" w:cs="Times New Roman"/>
          <w:color w:val="000000"/>
        </w:rPr>
        <w:t>criminal appeal number 1 of 1997 (SCU) (UR)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Mbonigaba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Nkinzehiki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suit number 687 of 1971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Kifamunte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Henry v Uganda </w:t>
      </w:r>
      <w:r>
        <w:rPr>
          <w:rFonts w:ascii="Times New Roman" w:hAnsi="Times New Roman" w:cs="Times New Roman"/>
          <w:color w:val="000000"/>
        </w:rPr>
        <w:t>criminal appeal number 10 of 1997 (SCU) (UR)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Osuna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Otwani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Bukenya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Ssalongo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civil number 62 of 1974 (1976) HCB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Selle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Associated Motor Boat and another </w:t>
      </w:r>
      <w:r>
        <w:rPr>
          <w:rFonts w:ascii="Times New Roman" w:hAnsi="Times New Roman" w:cs="Times New Roman"/>
          <w:color w:val="000000"/>
        </w:rPr>
        <w:t>[1968] EA 123</w:t>
      </w:r>
    </w:p>
    <w:p w:rsidR="00280787" w:rsidRDefault="00280787" w:rsidP="0028078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80578A" w:rsidRDefault="00280787" w:rsidP="00280787">
      <w:r>
        <w:rPr>
          <w:rFonts w:ascii="Times New Roman" w:hAnsi="Times New Roman" w:cs="Times New Roman"/>
          <w:i/>
          <w:iCs/>
          <w:color w:val="000000"/>
        </w:rPr>
        <w:t xml:space="preserve">Pandya v Thomas </w:t>
      </w:r>
      <w:r>
        <w:rPr>
          <w:rFonts w:ascii="Times New Roman" w:hAnsi="Times New Roman" w:cs="Times New Roman"/>
          <w:color w:val="000000"/>
        </w:rPr>
        <w:t>[1947] AC 484 (HL)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787"/>
    <w:rsid w:val="001C7008"/>
    <w:rsid w:val="00280787"/>
    <w:rsid w:val="008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6DD7BD-A528-43AB-8E0E-AB692CA4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2018-07-04T19:05:00Z</dcterms:created>
  <dcterms:modified xsi:type="dcterms:W3CDTF">2018-07-12T18:49:00Z</dcterms:modified>
</cp:coreProperties>
</file>