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Kanyabwera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Tumwebaze</w:t>
      </w:r>
      <w:proofErr w:type="spellEnd"/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February 2005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6/04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and scrutiny of the evidence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record – Whether the Court of Appeal had discharged its duty.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hearing – Procedure to be followed where party applying for </w:t>
      </w:r>
      <w:r>
        <w:rPr>
          <w:rFonts w:ascii="Times New Roman" w:hAnsi="Times New Roman" w:cs="Times New Roman"/>
          <w:color w:val="000000"/>
        </w:rPr>
        <w:t>ex parte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hearing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ready to proceed – Whether the trial court erred in permitting suit to proceed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9, rule 17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 xml:space="preserve">a) </w:t>
      </w:r>
      <w:r>
        <w:rPr>
          <w:rFonts w:ascii="Times New Roman" w:hAnsi="Times New Roman" w:cs="Times New Roman"/>
          <w:i/>
          <w:iCs/>
          <w:color w:val="000000"/>
        </w:rPr>
        <w:t>– Civil Procedure Rules.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Review – Application for review – Error on the face of the record – Principles to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applied in determining existence of error on the face of the record – Absence of affidavit of service –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absence of affidavit amounted to an error on the face of the record.</w:t>
      </w:r>
    </w:p>
    <w:p w:rsidR="00C85DC9" w:rsidRDefault="00044B33" w:rsidP="00044B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44B33" w:rsidRDefault="00C85DC9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 JSC: </w:t>
      </w:r>
      <w:r>
        <w:rPr>
          <w:rFonts w:ascii="Times New Roman" w:hAnsi="Times New Roman" w:cs="Times New Roman"/>
          <w:color w:val="000000"/>
        </w:rPr>
        <w:t xml:space="preserve">The appellant, Edison </w:t>
      </w:r>
      <w:proofErr w:type="spellStart"/>
      <w:r>
        <w:rPr>
          <w:rFonts w:ascii="Times New Roman" w:hAnsi="Times New Roman" w:cs="Times New Roman"/>
          <w:color w:val="000000"/>
        </w:rPr>
        <w:t>Kanyabwera</w:t>
      </w:r>
      <w:proofErr w:type="spellEnd"/>
      <w:r>
        <w:rPr>
          <w:rFonts w:ascii="Times New Roman" w:hAnsi="Times New Roman" w:cs="Times New Roman"/>
          <w:color w:val="000000"/>
        </w:rPr>
        <w:t xml:space="preserve">, sued the respondent, </w:t>
      </w:r>
      <w:proofErr w:type="spellStart"/>
      <w:r>
        <w:rPr>
          <w:rFonts w:ascii="Times New Roman" w:hAnsi="Times New Roman" w:cs="Times New Roman"/>
          <w:color w:val="000000"/>
        </w:rPr>
        <w:t>Pastori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Tumwebaze</w:t>
      </w:r>
      <w:proofErr w:type="spellEnd"/>
      <w:r>
        <w:rPr>
          <w:rFonts w:ascii="Times New Roman" w:hAnsi="Times New Roman" w:cs="Times New Roman"/>
          <w:color w:val="000000"/>
        </w:rPr>
        <w:t>, in the High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for damages in negligence arising from a road traffic accident in which the respective motor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vehicles of the two parties were involved and damaged. For ease of reference, I shall hereinafter refer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as “the plaintiff” and respondent as the “defendant”. The plaintiff claimed that the accident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caused by the negligence of the defendant’s driver, for which the defendant was vicariously liable.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filed a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suit, in which he pleaded contributory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on the part of the plaintiff’s driver, for which he claimed the plaintiff was vicariously liable.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suit was adjourned on several occasions, because the defendant was not served with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hearing notice. On 23 March 1998 the trial judge,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J adjourned the hearing of the suit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date, because according to him, the affidavit of service is unsatisfactory. He directed that: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“Let the plaintiff’s side serve the defendant again. They should go with LC ‘s or police and in case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refuses service the LC or police should swear an affidavit to that effect as well.”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on 10 November 1998 the record of the trial court reads: “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plaintiff,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is present –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Nabatanzi</w:t>
      </w:r>
      <w:proofErr w:type="spellEnd"/>
      <w:r>
        <w:rPr>
          <w:rFonts w:ascii="Times New Roman" w:hAnsi="Times New Roman" w:cs="Times New Roman"/>
          <w:color w:val="000000"/>
        </w:rPr>
        <w:t>, court clerk.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defendant absent and defendant is not present either. They were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 and I have an affidavit of service and a copy of the summons they endorsed. Can we proceed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under Order 9, rule 17 of the Civil Procedure Rules?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Court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satisfied that the defendant’s advocates were served with today’s hearing notice. Since they have not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turned up or given any explanation of their absence or that of their client I assume that both of them are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longer interested in being present during the hearing of this case. This case will therefore proceed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parte</w:t>
      </w:r>
      <w:r>
        <w:rPr>
          <w:rFonts w:ascii="Times New Roman" w:hAnsi="Times New Roman" w:cs="Times New Roman"/>
          <w:color w:val="000000"/>
        </w:rPr>
        <w:t>.”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proceeded to hear the plaintiff’s evidence, after which, on 27 October 2001, 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passed judgment for the plaintiff for: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 million as replacement value for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pick up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million general damages.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nterest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rate of 6 percent per annum for number 1 from the date of filing suit until payment in full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for number 2 from the date of judgment until payment in full.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suit.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 defendant filed an application in the High Court Order 9, rule 24 of the Civil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Rules (Civil Procedure Rules) for an order setting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The main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the application was that the defendant was not served with the hearing notice for the suit.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 xml:space="preserve">, J heard the application and dismissed it on the ground that the trial judge,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>, J was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defendant’s advocates had been duly served with the hearing notice and rightly heard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passed the judgment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Thereafter, the defendant applied to the High Court for a review of its order which refused to set aside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The application was made under section 35 of Judicature Act; section 83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Act; and Order 42, rules 1 and 8 of the Civil Procedure Rules, on the grounds that: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an error apparent on the face of the record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was aggrieved by the decision of the judge dismissing the application for setting aside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had a good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suit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was appealable but no appeal had been preferred against the order arising from the decree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judgment. If the judgment arising from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was not set aside, a miscarriage of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justice would be occasioned to the applicant.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 xml:space="preserve">, J heard and granted the application for a review setting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successfully appealed to the Court of Appeal. Hence the present appeal </w:t>
      </w:r>
      <w:r>
        <w:rPr>
          <w:rFonts w:ascii="Times New Roman" w:hAnsi="Times New Roman" w:cs="Times New Roman"/>
          <w:color w:val="000000"/>
        </w:rPr>
        <w:lastRenderedPageBreak/>
        <w:t>which is made on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grounds: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gramStart"/>
      <w:r w:rsidR="00044B33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there was service on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failed in their duty of re-evaluating and subjecting the evidence on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 to an exhaustive scrutiny, before reaching their conclusion that the defendant’s counsel was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served with court process.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when they held that the alleged error on the face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record was non-compliance with the learned Judge’s order for a specific order of service.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aving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found that the order for specific mode of service was made to ensure that the defendant was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served, erred in law and fact to hold that the alleged service on counsel for the defendant was proper.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Both parties to the appeal filed written submissions in support or opposition to the appeal, as the case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may be.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Ntambirweki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Kantebbe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Kwarisiima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Advocates, submitted for the plaintiff and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Babigumira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Advocates, submitted in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 in opposition to the appeal. The plaintiff’s learned Counsel argued ground one and two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together. They submitted that it was not sufficient for the trial judge to accept counsel’s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from the bar that the defendant had been served with the hearing notice for the suit. The facts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which the learned trial Judge based his ruling to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should have been written down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on the record of proceedings to prove that the defendant’s lawyers had, in fact, been served with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process. For instance, the affidavit of service should have been recorded as having been filed 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record, either before or at the time the suit was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Only the original, or copy of such an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affidavit, would have provided proof that the defendant or his counsel had been duly served with a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notice. For this submission, learned Counsel relied on the provisions of Order 5, rule 17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Procedure Rules and on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Mbonigaba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Nkinzehiki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suit number 687 of 1971; and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Osuna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Ssalongo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number 62 of 1974 (1976) HCB.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further submitted that particulars of the receipt (if any) for fees paid to file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service or a copy thereof, should have been entered on the court file cover. No such receipt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exhibited; nor was there evidence of any entry showing payment of fees for filing an affidavit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 The learned Counsel further submitted that according to the notice of change of advocates 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 became the defendant’s lawyers in March 1999, long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hearing of the suit had begun. The hearing of the suit began on 10 November 1998, and it was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completed on 16 August 2001. What was the purpose of serving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Bakiza</w:t>
      </w:r>
      <w:proofErr w:type="spellEnd"/>
      <w:r>
        <w:rPr>
          <w:rFonts w:ascii="Times New Roman" w:hAnsi="Times New Roman" w:cs="Times New Roman"/>
          <w:color w:val="000000"/>
        </w:rPr>
        <w:t>, of that firm of advocates,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hearing notice on 5 May 2001 as was stated by Ronald </w:t>
      </w:r>
      <w:proofErr w:type="spellStart"/>
      <w:r>
        <w:rPr>
          <w:rFonts w:ascii="Times New Roman" w:hAnsi="Times New Roman" w:cs="Times New Roman"/>
          <w:color w:val="000000"/>
        </w:rPr>
        <w:t>Sebagala</w:t>
      </w:r>
      <w:proofErr w:type="spellEnd"/>
      <w:r>
        <w:rPr>
          <w:rFonts w:ascii="Times New Roman" w:hAnsi="Times New Roman" w:cs="Times New Roman"/>
          <w:color w:val="000000"/>
        </w:rPr>
        <w:t xml:space="preserve"> in his affidavit of 8 May 2001?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learned Counsel further submitted that the Court of Appeal should have subjected all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concerning the alleged service of court process on the defendant to that fresh and exhaustive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re-evaluation that the defendant expected of it. Had it done so, it would have reached the conclusion that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had not been properly served and it would have overturned the High Court’s order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reviewing its earlier decision. The Court of Appeal having failed in its duty to do so as the first appellate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 learned Counsel urged us to re-evaluate the evidence and reach our own conclusion. Learned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</w:t>
      </w:r>
      <w:r>
        <w:rPr>
          <w:rFonts w:ascii="Times New Roman" w:hAnsi="Times New Roman" w:cs="Times New Roman"/>
          <w:color w:val="000000"/>
        </w:rPr>
        <w:t xml:space="preserve">, criminal appeal number 10 of 1997 (SCU) (UR);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Associated Motor Boat and another </w:t>
      </w:r>
      <w:r>
        <w:rPr>
          <w:rFonts w:ascii="Times New Roman" w:hAnsi="Times New Roman" w:cs="Times New Roman"/>
          <w:color w:val="000000"/>
        </w:rPr>
        <w:t xml:space="preserve">[1968] EA 123,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</w:t>
      </w:r>
      <w:r>
        <w:rPr>
          <w:rFonts w:ascii="Times New Roman" w:hAnsi="Times New Roman" w:cs="Times New Roman"/>
          <w:color w:val="000000"/>
        </w:rPr>
        <w:t>, Criminal appeal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 of 1997 (SCU) (UR); </w:t>
      </w:r>
      <w:r>
        <w:rPr>
          <w:rFonts w:ascii="Times New Roman" w:hAnsi="Times New Roman" w:cs="Times New Roman"/>
          <w:i/>
          <w:iCs/>
          <w:color w:val="000000"/>
        </w:rPr>
        <w:t xml:space="preserve">Pandya v Thomas </w:t>
      </w:r>
      <w:r>
        <w:rPr>
          <w:rFonts w:ascii="Times New Roman" w:hAnsi="Times New Roman" w:cs="Times New Roman"/>
          <w:color w:val="000000"/>
        </w:rPr>
        <w:t>[1947] AC 484 (H L).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submissions opposing the appeal, the defendant’s learned Counsel contended that the grounds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are intertwined, as they all revolved on the issue of whether or not the service of hearing notice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counsel for the defendant was effective. The learned Counsel therefore argued all the grounds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together. They commenced by adopting their submissions in the lower court and referred to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duty of that court, as the first appellate court, to </w:t>
      </w:r>
      <w:proofErr w:type="spellStart"/>
      <w:r>
        <w:rPr>
          <w:rFonts w:ascii="Times New Roman" w:hAnsi="Times New Roman" w:cs="Times New Roman"/>
          <w:color w:val="000000"/>
        </w:rPr>
        <w:t>scrutinise</w:t>
      </w:r>
      <w:proofErr w:type="spellEnd"/>
      <w:r>
        <w:rPr>
          <w:rFonts w:ascii="Times New Roman" w:hAnsi="Times New Roman" w:cs="Times New Roman"/>
          <w:color w:val="000000"/>
        </w:rPr>
        <w:t xml:space="preserve"> and re-evaluate the evidence and draw its own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conclusions of fact or law, and to what this Court said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Uganda </w:t>
      </w:r>
      <w:r>
        <w:rPr>
          <w:rFonts w:ascii="Times New Roman" w:hAnsi="Times New Roman" w:cs="Times New Roman"/>
          <w:color w:val="000000"/>
        </w:rPr>
        <w:t>[1999] 2 EA.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contended that in the instant case the Court of Appeal properly performed its duty 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appellate court in accordance with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principles stated by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). After scrutinizing the evidence, the Court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found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Advocates, who had instructions to represent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in the case was served with the hearing notice as his duly appointed agent. Service on them, 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 defendant, was proper and effective. The defendant’s learned Counsel further contended,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of Appeal rightly found that the error on the face of the record was not that the defendant’s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had been served in the absence of the LC or the police. The Court of Appeal, rightly, held that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had not intended to set a specific mode of service on the defendant by ordering that 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served in the presence of the LC or the police. The sum total of the </w:t>
      </w:r>
      <w:r>
        <w:rPr>
          <w:rFonts w:ascii="Times New Roman" w:hAnsi="Times New Roman" w:cs="Times New Roman"/>
          <w:color w:val="000000"/>
        </w:rPr>
        <w:lastRenderedPageBreak/>
        <w:t>findings of the Court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in this regard, was that by making such an order, the learned trial Judge intended to insure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 service of the hearing notice. The order did not exclude other modes of effecting service.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change of advocates, the defendant’s learned Counsel submitted that in the defendant’s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 affidavit supporting the application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judgment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that in May 1998,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changed his instructions to </w:t>
      </w:r>
      <w:proofErr w:type="spellStart"/>
      <w:r>
        <w:rPr>
          <w:rFonts w:ascii="Times New Roman" w:hAnsi="Times New Roman" w:cs="Times New Roman"/>
          <w:color w:val="000000"/>
        </w:rPr>
        <w:t>Odere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Company Advocates to continue with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counsel contended that in the circumstances,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 xml:space="preserve"> J rightly held that the defendant had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properly served when the learned Judge was rejecting the defendant’s application for setting aside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main issue in this appeal is whether the High Court’s decision to review its earlier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decision, dismissing the defendant’s application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judgment, should be left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stand. The application was made under section 35 of the Judicature Act, section 83 of the Civil Procedure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rules 1 and 8 of Order 42 of the Civil Procedure Rules. Section 35 of the Judicature Act appears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irrelevant. Section 83 of the Civil Procedure Act provides for the right of any person aggrieved by a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or order from which an appeal is allowed under the Act but from which no appeal has been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preferred to apply for a review of the judgment to the court which passed the decree or order. Order 42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 provides the details for exercising the court’s jurisdiction of review.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“Order 42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Any person considering himself aggrieved: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B y a decree or order from which an appeal is allowed, but from which no appeal has been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preferred; or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 y a decree or order from which no appeal is hereby allowed, and who from the discovery of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new and important matter of evidence which, after the exercise of due diligence, was not within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knowledge or could not be produced by him at the time when the decree was passed or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made, or on account of some mistake or error apparent on the face of the record, or for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other sufficient reason, desires to obtain a review of the decree passed or order made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him may apply for a review of judgment to the court which passed the decree or made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order.”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 grounds for the application for a review of the High Court’s decision rejecting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applications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judgment, were clearly stated in the defendants’ affidavit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learned Judge should not have dismissed any application since there was no affidavit of service on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 but instead he relied on the fact that the learned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trial Judge had stated in his judgment that the defendant was served, whereas there was no proof of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dismissing my aforesaid application in the absence of an affidavit of service on records is an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apparent error on the face of the record which is a good and sufficient ground for review of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passed against me.”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application was that there was some mistake or error apparent on the face of the record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error was dismissing the application in absence of an affidavit of service, as proof that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or his counsel had been served with the relevant hearing notice.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trial Judge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>, J granted the application for review and vacated his earlier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refusing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His main ground for doing so appears to be that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had not been served with a hearing notice in the presence of LC’s or the police, as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>, J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ordered before he proceeded to try the suit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. This is what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>, J said in his ruling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granting review: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a review of the record there is no affidavit or evidence of service that the applicant was served in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presence of LC’s as earlier ordered by the trial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udge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There is also no record as to what satisfied the judge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about the service in the way he ordered and there is no record of any order vacating the one made by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 requiring service in the presence of LC’s. This being the case, and in the absence of any document or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in the possession of the respondent/plaintiff and that of his advocates this Court is left with a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mysterious gap. This applicant and his advocates have had more than enough opportunity to fill the gap and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 or complete the record. The statement by the trial judge that he became satisfied about the service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onto the defendant/applicant remains largely unsubstantiated or justified by the record without having to go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outside the record. In this event, I am left in some doubt as to how I can support the statement, as I cannot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justify it by the record. It is, therefore, my decision that my order complained of, must be reviewed and I do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hereby review it and order that it be vacated …”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What the learned trial Judge said here appears to be a reversal of his earlier decision that the defendant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served and he, consequently, refused the defendant’s application to set aside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passed in his absence.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Court of Appeal’s decision was that there was no mistake or error apparent on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 of the record to justify a review. The absence from the record of evidence on that the defendant had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served in the presence of LC’s or police was not the error or mistake apparent on the face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record. It was the fact that no evidence of a proper and effective service on the defendant, existed at all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record.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AIR Commentaries: The Code of Civil Procedure </w:t>
      </w:r>
      <w:r>
        <w:rPr>
          <w:rFonts w:ascii="Times New Roman" w:hAnsi="Times New Roman" w:cs="Times New Roman"/>
          <w:color w:val="000000"/>
        </w:rPr>
        <w:t xml:space="preserve">by Manohar and </w:t>
      </w:r>
      <w:proofErr w:type="spellStart"/>
      <w:r>
        <w:rPr>
          <w:rFonts w:ascii="Times New Roman" w:hAnsi="Times New Roman" w:cs="Times New Roman"/>
          <w:color w:val="000000"/>
        </w:rPr>
        <w:t>Chitaley</w:t>
      </w:r>
      <w:proofErr w:type="spellEnd"/>
      <w:r>
        <w:rPr>
          <w:rFonts w:ascii="Times New Roman" w:hAnsi="Times New Roman" w:cs="Times New Roman"/>
          <w:color w:val="000000"/>
        </w:rPr>
        <w:t>, Volume 5, 1998, it is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in order that an error may be a ground for review, it must be one apparent on the face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record,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an evident error which does not require any extraneous matter to show its incorrectness. It must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an error so manifest and clear, that no court would permit such an error to remain on the record.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“error” may be one of fact, but it is not limited to matters of fact and includes error of law.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my considered opinion is that the absence from record of an affidavit of service 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or his counsel was an error or mistake on the face of the record justifying a review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judge’s refusal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against the defendant. Had the learned Justices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properly re-evaluated the evidence, they would have reached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that the defendant or his counsel was not served at all with the hearing notice of the suit. 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 November 1998 when the suit was called for hearing by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, J the plaintiff’s counsel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44B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informed the court that the defendant and his counsel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absent though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served, and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an affidavit of service and a copy of the summons they had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endorsed.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record does not show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showed the returned document of service to trial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</w:t>
      </w:r>
      <w:proofErr w:type="spellStart"/>
      <w:r>
        <w:rPr>
          <w:rFonts w:ascii="Times New Roman" w:hAnsi="Times New Roman" w:cs="Times New Roman"/>
          <w:color w:val="000000"/>
        </w:rPr>
        <w:t>Lugayiuzi</w:t>
      </w:r>
      <w:proofErr w:type="spellEnd"/>
      <w:r>
        <w:rPr>
          <w:rFonts w:ascii="Times New Roman" w:hAnsi="Times New Roman" w:cs="Times New Roman"/>
          <w:color w:val="000000"/>
        </w:rPr>
        <w:t>, including the affidavit of service, which he apparently had in his possession.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merely recorded that he was satisfied that the defendant’s advocates were served.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does not show that the learned trial Judge had a sight of the returned documents, and the affidavit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service. I have already referred, in this judgment, to what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>, J said in this regard in his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ruling refusing the defendant’s application for setting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At the cost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repeating, he said,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“Unfortunately I have been unable to see the affidavit of service. On the basis of which the judge proceeded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having been satisfied that service had been effected.”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the submissions of the appellant’s learned Counsel that had there been service, then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service should have been on the court record and if the copy on the court file was missing,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the plaintiff’s advocate would, or should, have produced a copy from their office file.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 of the Court of Appeal, that the defendant was served with the hearing notice, is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contained in the following passage of the judgment of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 with which the other members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agreed: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instant case, it was submitted that the trial judge had ordered a specific mode of service to effect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of the process on the respondent. The service was to be effected on the respondent in the presence of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police or LC and that if he refused to accept service then the LC or police should swear an affidavit to that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effect. I do not agree that the trial judge, thereby, intended to set a specific mode of service on the respondent.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record shows that the trial judge had not been satisfied with the earlier service when he said: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affidavit of service is unsatisfactory. Let the plaintiff’s side serve the defendant again. They should go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LC or police and, in case the defendant refuses service let the LC or police swear an affidavit to that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 as well.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clearly wanted a proper and effective service on the defendant even where he might have refused service.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only gave guidance of an effective service. Failure to follow the method he proposed could not constitute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error apparent on the face of the record, provided that there was evidence of a proper and effective service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defendant. There would have been an error apparent on the record if there had been no evidence of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and effective service on the defendant. In “this case there is evidence that was effected on the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defendant’s lawyer who accepted service.”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respect, as I have already said in this judgment, there was no evidence on record that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was served. Order 5, rule 17 of the Civil Procedure Rules provides that where summons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served on the defendant or his agent or other person on his behalf, the serving officer, shall in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cases, make or annex or cause to be annexed to the original summons an affidavit of service stating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when and the manner in which the summons was served and name and address of the person, if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any, identifying the person served and witnessing the delivery of the tender of the summons.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this rule is mandatory. It was not complied with in the instant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What the rule stipulates about service of summons, in my opinion, applies equally to service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notices.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affidavit of service on the record. The absence of such affidavit leads inevitably to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that the defendant was not properly served with the hearing notice before the suit was heard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absence. The point is that there was no evidence that the defendant was served at all, not that 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served at all, </w:t>
      </w: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that he was not served by the special mode of service prescribed by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>, J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would not have been an issue if the defendant was normally served as required by the Civil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 have said in this judgment disposes of all the grounds of appeal which should succeed. In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result, I would allow this appeal with costs here and in the Court of Appeal. Costs in the High Court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abide the result of the trial.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set aside the order and judgment of the Court of Appeal and restore the order of the High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setting aside the judgment of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J and order that the suit which gave rise to this appeal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tried </w:t>
      </w:r>
      <w:r>
        <w:rPr>
          <w:rFonts w:ascii="Times New Roman" w:hAnsi="Times New Roman" w:cs="Times New Roman"/>
          <w:i/>
          <w:iCs/>
          <w:color w:val="000000"/>
        </w:rPr>
        <w:t xml:space="preserve">de novo </w:t>
      </w:r>
      <w:r>
        <w:rPr>
          <w:rFonts w:ascii="Times New Roman" w:hAnsi="Times New Roman" w:cs="Times New Roman"/>
          <w:color w:val="000000"/>
        </w:rPr>
        <w:t>by the High Court on a date notified to both parties.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other members of the court agree, it is ordered in those </w:t>
      </w:r>
      <w:r>
        <w:rPr>
          <w:rFonts w:ascii="Times New Roman" w:hAnsi="Times New Roman" w:cs="Times New Roman"/>
          <w:color w:val="000000"/>
        </w:rPr>
        <w:lastRenderedPageBreak/>
        <w:t>terms.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had the benefit of reading in draft the judgment prepared by my learned brother,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Oder JSC and for the reasons I shall state presently, I agree with his conclusions that this appeal ought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this appeal are set out in the judgment of my learned brother. Like him, I shall also refer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appellant as the defendant and the respondent as the plaintiff.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10 November 1998, the day of hearing the suit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color w:val="000000"/>
        </w:rPr>
        <w:t>, counsel for plaintiff, addressed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thus: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Kabyesiza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defendant is absent and the defendant is not present either. They were served and I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an affidavit of service and a copy of the summons they endorsed. Can we proceed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under Order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 rule 17 of the Civil Procedure Rules?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Court: I am satisfied that the defendant’s advocates were served with today’s hearing notice. Since they have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turned up or given their explanation of their absence or that of their client, I assume that both of them are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 longer interested in being present during the hearing of this case. This case will therefore proceed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</w:t>
      </w:r>
      <w:r w:rsidR="00044B3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parte</w:t>
      </w:r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passages should be read in the context of the record as a whole. Thus, about seven months earlier,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23 March 1998, the same trial judge deemed affidavit of service for hearing on 23 March 1998 to be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unsatisfactory. So he ordered for fresh hearing notice to issue for service on the defendant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above quoted order is brief, the only reasonable conclusion I can draw from the passages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there was evidence of satisfactory service on counsel for the defendant.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judge has been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for not indicating on the record that he had physically sighted and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handled the copy of the hearing notice which had been served on the defendant’s counsel and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the process server. However, on 23 March 1998 when the judge ordered for a fresh service 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write that he had looked at the hearing notice or at the affidavit of service. He wrote that: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affidavit of service is unsatisfactory”. This implies that he read the affidavit. My own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understanding of the record is that although the learned trial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was </w:t>
      </w:r>
      <w:proofErr w:type="spellStart"/>
      <w:r>
        <w:rPr>
          <w:rFonts w:ascii="Times New Roman" w:hAnsi="Times New Roman" w:cs="Times New Roman"/>
          <w:color w:val="000000"/>
        </w:rPr>
        <w:t>brief</w:t>
      </w:r>
      <w:proofErr w:type="gramStart"/>
      <w:r>
        <w:rPr>
          <w:rFonts w:ascii="Times New Roman" w:hAnsi="Times New Roman" w:cs="Times New Roman"/>
          <w:color w:val="000000"/>
        </w:rPr>
        <w:t>,in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that he omitted to indicate that he had in fact sighted and perused both the hearing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and the affidavit of service to satisfy himself about what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stated,the</w:t>
      </w:r>
      <w:proofErr w:type="spellEnd"/>
      <w:r>
        <w:rPr>
          <w:rFonts w:ascii="Times New Roman" w:hAnsi="Times New Roman" w:cs="Times New Roman"/>
          <w:color w:val="000000"/>
        </w:rPr>
        <w:t xml:space="preserve"> judge should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presumed to have seen the documents. The appellant’s counsel has made a mountain out of this.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adopted by the learned Judge, though it lacks </w:t>
      </w:r>
      <w:proofErr w:type="spellStart"/>
      <w:r>
        <w:rPr>
          <w:rFonts w:ascii="Times New Roman" w:hAnsi="Times New Roman" w:cs="Times New Roman"/>
          <w:color w:val="000000"/>
        </w:rPr>
        <w:t>detail,</w:t>
      </w:r>
      <w:proofErr w:type="gramStart"/>
      <w:r>
        <w:rPr>
          <w:rFonts w:ascii="Times New Roman" w:hAnsi="Times New Roman" w:cs="Times New Roman"/>
          <w:color w:val="000000"/>
        </w:rPr>
        <w:t>,it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alone would not, in my opinion, be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justify setting aside his judgment. In the absence of any obvious wrong, it is legitimate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presume that when the judge stated that he was satisfied that the defendant’s advocates were served 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seen the two documents. I am satisfied that the trial judge must have seen both the hearing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and the affidavit of service which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announced in open court that he was in possession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of. These documents could have been misplaced or lost subsequently. Careless keeping of court records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court registry staff which must be depreciated in no uncertain terms, is not peculiar to this case. With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 I would, therefore, not go along with the view that the learned trial Judge proceeded with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without satisfactory proof of service of the hearing notice. I, therefore, agree with the Court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insofar as that court held that there had been effective service of the hearing notice on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counsel but that is as far as I can go, on that aspect of this appeal.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</w:rPr>
        <w:t>think</w:t>
      </w:r>
      <w:proofErr w:type="gramStart"/>
      <w:r>
        <w:rPr>
          <w:rFonts w:ascii="Times New Roman" w:hAnsi="Times New Roman" w:cs="Times New Roman"/>
          <w:color w:val="000000"/>
        </w:rPr>
        <w:t>,with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respect, that the learned trial Judge made an error of a different nature which would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justify setting aside his judgment. Counsel for the plaintiff applied for the order for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knowing very well that only one witness was present. This he announced, in open court, after the judge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granted the order for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 of the case. He boldly announced that “I have one witness”. 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case which had been fixed for hearing for two days, I would have expected the learned Judge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ascertain from the plaintiff and his counsel whether they would call only that witness or other witnesses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appear later in the day or the following day before receiving evidence of the only available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witness. Alternatively, as the judge had established that service was effected on defendant’s counsel and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plaintiff did not have all his witnesses, the judge could have ordered for personal service on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 On the facts it is clear that the plaintiff and his counsel were not quite ready to prosecute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suit. Yet after obtaining the court order to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after the plaintiff’s testimony on the same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 (10 November 1998) counsel for the plaintiff sought and was granted adjournment; to enable him get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witnesses. That day the rest of the witnesses for the plaintiff were absent. Yet the court obligingly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the application for adjournment and adjourned the hearing of the case to 1 February 1999, giving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space of two and a half months. Indeed even on 1 February 1999, plaintiff’s counsel sought and was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another adjournment to call a fourth witness. Eventually the hearing of the case could not be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until 16 August 2001. I do not believe that Order 9, rule 17(1)(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is intended to allow a party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have indefinite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 without making the other party aware of this.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9, rule 17(1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reads as follows: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a plaintiff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appears and the defendant does not appear when the suit is called on for hearing: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If the court is satisfied that the summons or notice of hearing was duly served, it may proceed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</w:t>
      </w:r>
      <w:r w:rsidR="00044B3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parte</w:t>
      </w:r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trial judge is given discretion in deciding whether or not to grant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hearings. Granting an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hearing should, in my opinion, enhance expeditious disposal of a case, but not to give further delay.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ordering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 is discretionary, it ought to be granted with caution therefore it ought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to be granted to a party which is, itself, not ready as was the case here.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rule 17(1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should be read together with rule 18, which states: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 the court has adjourned the hearing of the suit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, and the defendant at or before such hearing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appears and assigns good cause for his previous non-appearance, he may, upon such terms as the court directs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costs or otherwise, be heard in answer to the suit as if he had appeared on the day fixed for his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appearance.”</w:t>
      </w:r>
      <w:r w:rsidR="00044B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Whilst courts should promote expeditious hearing and disposal of cases and therefore should not have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work delayed by absence of parties or their witnesses, presiding trial judges would do well to be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aware that rules 17 and 18 give court discretion to do justice.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in circumstances where a party is represented and his lawyer for unknown reason does not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though served, the first option ought to be for the absent party to be served personally. In my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this should have been the proper course to be taken in this case.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say this because in terms of Order 15, rules 1 and 4, hearing once commenced should continue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there is sufficient cause to justify an adjournment. This means that a party who asks for hearing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to start must be ready to proceed fully. It is not sufficient cause for adjourning the hearing of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whose hearing started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on account of absence of witnesses for the plaintiff. If the plaintiff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wanted the case to be heard, he cannot be the same one to cause the hearing to be adjourned, as in this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three times because of the absence of his own witnesses. It makes no sense to me. It amounts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unfair hearing, I think.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considered opinion this would have been a legitimate ground for setting aside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but not the alleged absence from the court record of the hearing notice and the process server’s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because of these reasons that I agree that this appeal ought to succeed.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Furthermore, I think that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 xml:space="preserve"> J erred in reviewing his ruling. I agree with the Court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that there was no error on the record merely because the affidavit of service was missing.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should have appealed against the first ruling given by </w:t>
      </w:r>
      <w:proofErr w:type="spellStart"/>
      <w:r>
        <w:rPr>
          <w:rFonts w:ascii="Times New Roman" w:hAnsi="Times New Roman" w:cs="Times New Roman"/>
          <w:color w:val="000000"/>
        </w:rPr>
        <w:t>Okumu-Wengi</w:t>
      </w:r>
      <w:proofErr w:type="spellEnd"/>
      <w:r>
        <w:rPr>
          <w:rFonts w:ascii="Times New Roman" w:hAnsi="Times New Roman" w:cs="Times New Roman"/>
          <w:color w:val="000000"/>
        </w:rPr>
        <w:t>, J instead of applying for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allow the appeal with costs in this Court and the Court of Appeal. I would order that costs in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do abide the results of the retrial.</w:t>
      </w:r>
      <w:r w:rsidR="00044B33">
        <w:rPr>
          <w:rFonts w:ascii="Times New Roman" w:hAnsi="Times New Roman" w:cs="Times New Roman"/>
          <w:color w:val="000000"/>
        </w:rPr>
        <w:t xml:space="preserve"> </w:t>
      </w:r>
    </w:p>
    <w:p w:rsidR="00044B33" w:rsidRDefault="00044B33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85DC9" w:rsidRDefault="00C85DC9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 xml:space="preserve">I have read in draft the judgments prepared by my learned brothers Oder and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JJSC. I agree with both that the appeal should succeed and concur with the orders proposed by Oder JSC.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regard to the circumstances of this case, as reflected in the record, I would not be inclined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 that the trial judge,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J, erred when on 10 November 1998 he held that he was satisfied that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defendant’s advocates were served with the hearing notice. In view of the fact that on the previous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appearance, on 23 March 1998, the same judge had held that the affidavit of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was unsatisfactory, I think it is more probable that on the latter occasion he was satisfied from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service mentioned by counsel rather than from the word of mouth of counsel. The omission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what satisfied him, in my view, should not be construed as though he was not satisfied on proper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lawful grounds. Similarly, I am not inclined to hold that merely because no affidavit of service was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on the court file subsequently, it means that none was ever done or that the defendant was not</w:t>
      </w:r>
    </w:p>
    <w:p w:rsidR="00044B33" w:rsidRDefault="00C85DC9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served</w:t>
      </w:r>
      <w:proofErr w:type="gramEnd"/>
      <w:r>
        <w:rPr>
          <w:rFonts w:ascii="Times New Roman" w:hAnsi="Times New Roman" w:cs="Times New Roman"/>
          <w:color w:val="000000"/>
        </w:rPr>
        <w:t xml:space="preserve"> with the hearing notice properly or at all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am, however, in agreement with my learned brother,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JSC, that the learned trial Judge did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exercise his discretion judiciously when after ordering the case to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(because the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was absent that day) he permitted the hearing to be adjourned from day to day, without any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notice to the defendant as if he was barred from the proceedings. The rule permitting an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044B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when a defendant does not appear, is intended to discourage a defendant from frustrating a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who is ready to present his case for no good cause. It is not intended to bar the defendant, who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defended the suit, from further participation. Although in this appeal the parties did not address this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point, in my opinion, the error is of sufficient gravity to render the proceedings a mistrial, and to justify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setting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</w:t>
      </w:r>
      <w:r w:rsidR="00044B33">
        <w:rPr>
          <w:rFonts w:ascii="Times New Roman" w:hAnsi="Times New Roman" w:cs="Times New Roman"/>
          <w:color w:val="000000"/>
        </w:rPr>
        <w:t xml:space="preserve"> </w:t>
      </w:r>
    </w:p>
    <w:p w:rsidR="00044B33" w:rsidRDefault="00044B33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85DC9" w:rsidRDefault="00C85DC9" w:rsidP="00044B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had the benefit of reading in advance the draft judgment prepared by my learned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 AHO Oder JSC, and I agree with his conclusions that the appeal ought to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allowed with costs to the appellant here and in the courts below.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 the order and judgment of the Court of Appeal must be set aside and the order of the High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setting aside the judgment of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J is hereby restored, as there was no proper evidence that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of court process had been effected. It is ordered that the case which gave rise to this appeal must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de novo </w:t>
      </w:r>
      <w:r>
        <w:rPr>
          <w:rFonts w:ascii="Times New Roman" w:hAnsi="Times New Roman" w:cs="Times New Roman"/>
          <w:color w:val="000000"/>
        </w:rPr>
        <w:t>by the High Court.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 xml:space="preserve">I have read, in draft, the judgments of my brothers Oder and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>, JJSC and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reasons given by Justice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>, I agree that this appeal be allowed. I also agree with the orders</w:t>
      </w:r>
      <w:r w:rsidR="00044B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 by Justice Oder, JSC.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85DC9" w:rsidRDefault="00C85DC9" w:rsidP="00C85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Akampulira</w:t>
      </w:r>
      <w:proofErr w:type="spellEnd"/>
    </w:p>
    <w:p w:rsidR="0080578A" w:rsidRDefault="00C85DC9" w:rsidP="00C85DC9">
      <w:r>
        <w:rPr>
          <w:rFonts w:ascii="Times New Roman" w:hAnsi="Times New Roman" w:cs="Times New Roman"/>
          <w:color w:val="000000"/>
        </w:rPr>
        <w:t>For the respondent: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C9"/>
    <w:rsid w:val="00044B33"/>
    <w:rsid w:val="0080578A"/>
    <w:rsid w:val="00C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239D3-2ABF-4967-BA0C-60B51154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4957</Words>
  <Characters>28257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2018-07-04T19:07:00Z</dcterms:created>
  <dcterms:modified xsi:type="dcterms:W3CDTF">2018-07-12T18:51:00Z</dcterms:modified>
</cp:coreProperties>
</file>