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Kanyua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Nganga</w:t>
      </w:r>
      <w:proofErr w:type="spellEnd"/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 March 2004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2038/96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Affidavit – Affidavit not sworn – Whether unsworn affidavit curable.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Pleadings – Form of – Originating summons supported by an unsworn affidavit – Amended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originating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summons supported by sworn affidavit – Whether amended originating summons cure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original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originating summons.</w:t>
      </w:r>
    </w:p>
    <w:p w:rsidR="005F1642" w:rsidRDefault="008E3995" w:rsidP="008E39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5F1642" w:rsidRDefault="005F1642" w:rsidP="008E39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OCHIENG AJ: </w:t>
      </w:r>
      <w:r>
        <w:rPr>
          <w:rFonts w:ascii="Times New Roman" w:hAnsi="Times New Roman" w:cs="Times New Roman"/>
          <w:color w:val="000000"/>
        </w:rPr>
        <w:t>The applicant had instituted these proceedings by way of an originating summons,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30 May 1996. The said proceedings were instituted pursuant to the provisions of Order XXVI, rule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3D of the Civil Procedure Rules, section 28 of the Registered Land Act, sections 37(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38 of the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Limitations of Actions Act, and all other enabling provisions of the law. The originating summons was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supported by the affidavit of Mary </w:t>
      </w:r>
      <w:proofErr w:type="spellStart"/>
      <w:r>
        <w:rPr>
          <w:rFonts w:ascii="Times New Roman" w:hAnsi="Times New Roman" w:cs="Times New Roman"/>
          <w:color w:val="000000"/>
        </w:rPr>
        <w:t>Wanjiru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Kanyua</w:t>
      </w:r>
      <w:proofErr w:type="spellEnd"/>
      <w:r>
        <w:rPr>
          <w:rFonts w:ascii="Times New Roman" w:hAnsi="Times New Roman" w:cs="Times New Roman"/>
          <w:color w:val="000000"/>
        </w:rPr>
        <w:t>, the applicant.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service of the originating summons upon the respondent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Ng’ang’a</w:t>
      </w:r>
      <w:proofErr w:type="spellEnd"/>
      <w:r>
        <w:rPr>
          <w:rFonts w:ascii="Times New Roman" w:hAnsi="Times New Roman" w:cs="Times New Roman"/>
          <w:color w:val="000000"/>
        </w:rPr>
        <w:t>, the respondent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 replying affidavit. The only deposition in the said replying affidavit, which is relevant to this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ruling, is that the respondent was not the registered proprietor of the suit property. In the light of that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revelation, the applicant conducted a search at the </w:t>
      </w:r>
      <w:proofErr w:type="spellStart"/>
      <w:r>
        <w:rPr>
          <w:rFonts w:ascii="Times New Roman" w:hAnsi="Times New Roman" w:cs="Times New Roman"/>
          <w:color w:val="000000"/>
        </w:rPr>
        <w:t>Thika</w:t>
      </w:r>
      <w:proofErr w:type="spellEnd"/>
      <w:r>
        <w:rPr>
          <w:rFonts w:ascii="Times New Roman" w:hAnsi="Times New Roman" w:cs="Times New Roman"/>
          <w:color w:val="000000"/>
        </w:rPr>
        <w:t xml:space="preserve"> Lands Registry, and ascertained that the suit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 was registered in the name of </w:t>
      </w:r>
      <w:proofErr w:type="spellStart"/>
      <w:r>
        <w:rPr>
          <w:rFonts w:ascii="Times New Roman" w:hAnsi="Times New Roman" w:cs="Times New Roman"/>
          <w:color w:val="000000"/>
        </w:rPr>
        <w:t>Ng’ang’a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>. Having thus ascertained the identity of the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registered proprietor the applicant applied to this Court to have </w:t>
      </w:r>
      <w:proofErr w:type="spellStart"/>
      <w:r>
        <w:rPr>
          <w:rFonts w:ascii="Times New Roman" w:hAnsi="Times New Roman" w:cs="Times New Roman"/>
          <w:color w:val="000000"/>
        </w:rPr>
        <w:t>Ng’ang’a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joined as a respondent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suit.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applicant filed an amended originating summons dated 28 May 2001; the new pleading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incorporated </w:t>
      </w:r>
      <w:proofErr w:type="spellStart"/>
      <w:r>
        <w:rPr>
          <w:rFonts w:ascii="Times New Roman" w:hAnsi="Times New Roman" w:cs="Times New Roman"/>
          <w:color w:val="000000"/>
        </w:rPr>
        <w:t>Ng’ang’a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as the second respondent. The amended originating summons was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supported by the affidavit of Mary </w:t>
      </w:r>
      <w:proofErr w:type="spellStart"/>
      <w:r>
        <w:rPr>
          <w:rFonts w:ascii="Times New Roman" w:hAnsi="Times New Roman" w:cs="Times New Roman"/>
          <w:color w:val="000000"/>
        </w:rPr>
        <w:t>Wanjiru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Kanyua</w:t>
      </w:r>
      <w:proofErr w:type="spellEnd"/>
      <w:r>
        <w:rPr>
          <w:rFonts w:ascii="Times New Roman" w:hAnsi="Times New Roman" w:cs="Times New Roman"/>
          <w:color w:val="000000"/>
        </w:rPr>
        <w:t xml:space="preserve"> (the applicant). The affidavit was sworn on 28 May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2001.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case came up for hearing before me on 26 January 2004 the first respondent raised a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objection. In a nutshell, the respondent submitted that the originating summons was a nullity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applicant’s supporting affidavit had not been sworn.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between the parties that the affidavit attached to the originating summons dated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30 May 1996 filed in court had not been commissioned by a Commissioner for Oaths. As far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8E399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is concerned, the failure to commission the affidavit rendered the entire suit fatally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defective. He noted that the provisions of Order XXXVI, rule </w:t>
      </w:r>
      <w:proofErr w:type="gramStart"/>
      <w:r>
        <w:rPr>
          <w:rFonts w:ascii="Times New Roman" w:hAnsi="Times New Roman" w:cs="Times New Roman"/>
          <w:color w:val="000000"/>
        </w:rPr>
        <w:t>3D(</w:t>
      </w:r>
      <w:proofErr w:type="gramEnd"/>
      <w:r>
        <w:rPr>
          <w:rFonts w:ascii="Times New Roman" w:hAnsi="Times New Roman" w:cs="Times New Roman"/>
          <w:color w:val="000000"/>
        </w:rPr>
        <w:t>2) require the originating summons to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supported by an affidavit. And therefore, as the document titled “affidavit” which was filed in support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originating summons had not been commissioned the said originating summons was a nullity, as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supporting affidavit.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answer to the respondent’s submissions,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Olewe</w:t>
      </w:r>
      <w:proofErr w:type="spellEnd"/>
      <w:r>
        <w:rPr>
          <w:rFonts w:ascii="Times New Roman" w:hAnsi="Times New Roman" w:cs="Times New Roman"/>
          <w:color w:val="000000"/>
        </w:rPr>
        <w:t xml:space="preserve"> did not purport to offer any cure to the original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document. However, he did clearly state that the case presently before the Court is the amended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summons dated 28 May 2001. That pleading was supported by the applicant’s affidavit,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had been duly sworn before Leah W </w:t>
      </w:r>
      <w:proofErr w:type="spellStart"/>
      <w:r>
        <w:rPr>
          <w:rFonts w:ascii="Times New Roman" w:hAnsi="Times New Roman" w:cs="Times New Roman"/>
          <w:color w:val="000000"/>
        </w:rPr>
        <w:t>Mbuthia</w:t>
      </w:r>
      <w:proofErr w:type="spellEnd"/>
      <w:r>
        <w:rPr>
          <w:rFonts w:ascii="Times New Roman" w:hAnsi="Times New Roman" w:cs="Times New Roman"/>
          <w:color w:val="000000"/>
        </w:rPr>
        <w:t>, an advocate and Commissioner for Oaths.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to the applicant’s submissions, the respondent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amendment of pleadings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does not cure the fatality of the original suit. He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suit itself dates back to 16 August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1996, when it was originally filed.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advocates are correct to some degree. The applicant is correct insofar it is true that the pleading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presently before the Court is the amended originating summons. But of course, the said amended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summons would not be capable of amending the failure to have commissioned the original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supporting affidavit. Indeed the only real amendment was the introduction of a second respondent. Thus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is correct, when he says that the suit still dates back to 1996. If the said original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summons were fatally defective, could the amendment which added another party to the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cure the defect? The answer must be in the negative.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also note here that the applicant’s advocate informed the Court that the supporting affidavit was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actually sworn before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AD </w:t>
      </w:r>
      <w:proofErr w:type="spellStart"/>
      <w:r>
        <w:rPr>
          <w:rFonts w:ascii="Times New Roman" w:hAnsi="Times New Roman" w:cs="Times New Roman"/>
          <w:color w:val="000000"/>
        </w:rPr>
        <w:t>Rachier</w:t>
      </w:r>
      <w:proofErr w:type="spellEnd"/>
      <w:r>
        <w:rPr>
          <w:rFonts w:ascii="Times New Roman" w:hAnsi="Times New Roman" w:cs="Times New Roman"/>
          <w:color w:val="000000"/>
        </w:rPr>
        <w:t>, advocate and Commissioner for Oaths. Basically, what seems to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happened is that the applicant’s advocates filed an affidavit which had not been commissioned by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Rachier</w:t>
      </w:r>
      <w:proofErr w:type="spellEnd"/>
      <w:r>
        <w:rPr>
          <w:rFonts w:ascii="Times New Roman" w:hAnsi="Times New Roman" w:cs="Times New Roman"/>
          <w:color w:val="000000"/>
        </w:rPr>
        <w:t xml:space="preserve">, whilst the document bearing </w:t>
      </w:r>
      <w:r>
        <w:rPr>
          <w:rFonts w:ascii="Times New Roman" w:hAnsi="Times New Roman" w:cs="Times New Roman"/>
          <w:color w:val="000000"/>
        </w:rPr>
        <w:lastRenderedPageBreak/>
        <w:t>the stamp and signature of the Commissioner for Oaths was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inadvertently retained in the file of the applicant’s advocates. But all this is in the realm of conjecture.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what is clear is the fact that the sworn affidavit was not made available to the Court.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XXXVI, rule 3D provides as follows: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application under section 38 of the Limitation of Actions Act shall be made by originating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summons.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summons shall be supported by an affidavit to which a certified extract of the title to the land in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 has been annexed”.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said provisions are very clear. It is mandatory that the originating summons, by which the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are initiated, be supported by an affidavit. Thus if the originating summons was not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by an affidavit, it would be irregular. But does such irregularity go to jurisdiction, so as to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 the originating summons fatally defective?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answer this question adequately, the Court believes that there is need to draw a parallel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provisions of Order XXXVI, rule 3D and Order VII, rule 2. The latter reads as follows: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plaint shall be accompanied by an affidavit sworn by the plaintiff verifying the correctness of the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averments in the plaint”.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effect, the provisions of the two rules both require the pleadings by which a suit is commenced to be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or accompanied by an affidavit. Although Order VII, rule 2 was only introduced fairly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recently, it has already been litigated upon on numerous occasions. I therefore believe that I should be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able to receive a reasonable amount of guidance from some decisions on that provision.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 for the defendant cited the authority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Nairobi City Council </w:t>
      </w:r>
      <w:r>
        <w:rPr>
          <w:rFonts w:ascii="Times New Roman" w:hAnsi="Times New Roman" w:cs="Times New Roman"/>
          <w:color w:val="000000"/>
        </w:rPr>
        <w:t>[2001] 1 EA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69. In that case, the Court of Appeal held that the provisions of Order VII, rule 1(2).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“Clearly state that the plaint shall be accompanied by an affidavit sworn by the plaintiff verifying the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correctness of the averments contained in the plaint.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Wamalwa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applicants sought to show that the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affidavit in support of the application served the same purpose to be served by the affidavit which should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accompanied the plaint. In our view, the rule is so clear as to leave no room for such interpretation”.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do adopt the said decision of the Court of Appeal, and adopt it in this case. The net result would be that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originating summons was not supported by an affidavit, there would be no other conclusion other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that the said originating summons was incurably defective. To borrow the words of Shah JA in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Igweta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M’ethaa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[2001] LLR 3502 (CAK).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“Yes, if a procedural defect is fundamental to the proceedings a case of nullity may arise and a nullity, of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course, is not curable because what is null and void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ab initio </w:t>
      </w:r>
      <w:r>
        <w:rPr>
          <w:rFonts w:ascii="Times New Roman" w:hAnsi="Times New Roman" w:cs="Times New Roman"/>
          <w:color w:val="000000"/>
          <w:sz w:val="20"/>
          <w:szCs w:val="20"/>
        </w:rPr>
        <w:t>remains so”.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light of the foregoing, I must now attempt to answer the question as to whether the failure to file a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affidavit is a mere procedural inadequacy that does not go to jurisdiction. Is such a defect curable?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Order XVIII, rule 7 stipulate as follows: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 may receive any affidavit sworn for the purpose of being used in any suit notwithstanding any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defect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misdescription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parties or otherwise in the title or other irregularity in the form thereof”.</w:t>
      </w:r>
      <w:r w:rsidR="008E39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Thus if the affidavit has some defect by </w:t>
      </w:r>
      <w:proofErr w:type="spellStart"/>
      <w:r>
        <w:rPr>
          <w:rFonts w:ascii="Times New Roman" w:hAnsi="Times New Roman" w:cs="Times New Roman"/>
          <w:color w:val="000000"/>
        </w:rPr>
        <w:t>misdescription</w:t>
      </w:r>
      <w:proofErr w:type="spellEnd"/>
      <w:r>
        <w:rPr>
          <w:rFonts w:ascii="Times New Roman" w:hAnsi="Times New Roman" w:cs="Times New Roman"/>
          <w:color w:val="000000"/>
        </w:rPr>
        <w:t xml:space="preserve"> of the parties or otherwise, or other irregularity in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form, the Court could possibly exercise its discretion and receive it in evidence.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that rule clearly envisages an affidavit that had been sworn. Once an affidavit had been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if it had irregularity in form, the Court could possibly receive it. The difficulty in this case is that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“affidavit” of Mary </w:t>
      </w:r>
      <w:proofErr w:type="spellStart"/>
      <w:r>
        <w:rPr>
          <w:rFonts w:ascii="Times New Roman" w:hAnsi="Times New Roman" w:cs="Times New Roman"/>
          <w:color w:val="000000"/>
        </w:rPr>
        <w:t>Wanjiru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Kanyua</w:t>
      </w:r>
      <w:proofErr w:type="spellEnd"/>
      <w:r>
        <w:rPr>
          <w:rFonts w:ascii="Times New Roman" w:hAnsi="Times New Roman" w:cs="Times New Roman"/>
          <w:color w:val="000000"/>
        </w:rPr>
        <w:t xml:space="preserve"> attached to the originating summons dated 30 May 1996 was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neither dated nor sworn. At best the said document could be described as the final draft of </w:t>
      </w:r>
      <w:proofErr w:type="spellStart"/>
      <w:r>
        <w:rPr>
          <w:rFonts w:ascii="Times New Roman" w:hAnsi="Times New Roman" w:cs="Times New Roman"/>
          <w:color w:val="000000"/>
        </w:rPr>
        <w:t>Kanyua’s</w:t>
      </w:r>
      <w:proofErr w:type="spellEnd"/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affidavit. It could not become an affidavit until and unless it was sworn by </w:t>
      </w:r>
      <w:proofErr w:type="spellStart"/>
      <w:r>
        <w:rPr>
          <w:rFonts w:ascii="Times New Roman" w:hAnsi="Times New Roman" w:cs="Times New Roman"/>
          <w:color w:val="000000"/>
        </w:rPr>
        <w:t>Kanyua</w:t>
      </w:r>
      <w:proofErr w:type="spellEnd"/>
      <w:r>
        <w:rPr>
          <w:rFonts w:ascii="Times New Roman" w:hAnsi="Times New Roman" w:cs="Times New Roman"/>
          <w:color w:val="000000"/>
        </w:rPr>
        <w:t xml:space="preserve"> before the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for Oaths. I therefore have no alternative but to conclude that the originating summons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supported by an affidavit, as </w:t>
      </w:r>
      <w:proofErr w:type="spellStart"/>
      <w:r>
        <w:rPr>
          <w:rFonts w:ascii="Times New Roman" w:hAnsi="Times New Roman" w:cs="Times New Roman"/>
          <w:color w:val="000000"/>
        </w:rPr>
        <w:t>requited</w:t>
      </w:r>
      <w:proofErr w:type="spellEnd"/>
      <w:r>
        <w:rPr>
          <w:rFonts w:ascii="Times New Roman" w:hAnsi="Times New Roman" w:cs="Times New Roman"/>
          <w:color w:val="000000"/>
        </w:rPr>
        <w:t xml:space="preserve"> by Order XXXVI, rule 3D. The said originating summons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thus fatally defective, and must be struck out, with costs.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before I conclude this ruling, I wish to observe, obiter, that the plaintiff’s “affidavit” in this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bears a signature which I presume was that of the intended deponent. If that be the case, it would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 that the said document was signed by the plaintiff, in the absence of the commissioner for oaths. It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appear that the document would thereafter have been presented to the commissioner for oaths for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signature and stamping. Any party, advocate or commissioner for oaths who might be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>
        <w:rPr>
          <w:rFonts w:ascii="Times New Roman" w:hAnsi="Times New Roman" w:cs="Times New Roman"/>
          <w:color w:val="000000"/>
        </w:rPr>
        <w:t xml:space="preserve"> this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 of administering any oath or taking of any affidavit must be reminded that such a practice is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completely irregular. The practice may lend itself to many people doing it due to convenience, but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anybody practicing it must appreciate that, strictly speaking, the final document is not an affidavit.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Whereas it might be difficult for the Court or any other third party to ascertain the facts that the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for oaths appended his stamp and signature in the absence of the signatory to the said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document, if the truth should be out, the document would definitely be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struck out. And this Court would also make recommendations, in such cases, that the professional body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regulates the practice of advocates, (who are commissioners for oaths) should take the appropriate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disciplinary actions against such professionals.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know that some advocates and parties may frown at these remarks, but I hope that everybody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will take time to digest it. Remember that if you are a commissioner for oaths and you append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your stamp and signature to a document not signed in your presence, you really have no idea whether or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signature had been forged. The said document would also be telling a lie on the query face of it,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whereat it proudly declares that it had been “sworn before me”.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conclusion, and for the avoidance of any doubt, I order that the originating summons dated 30 May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 be struck out with costs. The consequence of this order is that the amended originating summons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28 May 2001 stands struck out too.</w:t>
      </w:r>
      <w:r w:rsidR="008E399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applicants: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Wamwalwa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FN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Wamalwa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5F1642" w:rsidRDefault="005F1642" w:rsidP="005F1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E97396" w:rsidRDefault="005F1642" w:rsidP="005F1642">
      <w:proofErr w:type="spellStart"/>
      <w:r>
        <w:rPr>
          <w:rFonts w:ascii="Times New Roman" w:hAnsi="Times New Roman" w:cs="Times New Roman"/>
          <w:i/>
          <w:iCs/>
          <w:color w:val="000000"/>
        </w:rPr>
        <w:t>Mbiyu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42"/>
    <w:rsid w:val="005F1642"/>
    <w:rsid w:val="008E3995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F07D5-0623-4028-9C07-2F2F5D5C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2018-07-03T14:00:00Z</dcterms:created>
  <dcterms:modified xsi:type="dcterms:W3CDTF">2018-07-12T19:32:00Z</dcterms:modified>
</cp:coreProperties>
</file>