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Kariuki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September 2005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185/04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Evidence – Doctrine of recent possession of stolen property.</w:t>
      </w:r>
    </w:p>
    <w:p w:rsidR="000B37EB" w:rsidRDefault="00502636" w:rsidP="005026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B37EB" w:rsidRDefault="000B37EB" w:rsidP="00502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first appellant, Samuel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, and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Geoffrey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Kinuthia</w:t>
      </w:r>
      <w:proofErr w:type="spellEnd"/>
      <w:r>
        <w:rPr>
          <w:rFonts w:ascii="Times New Roman" w:hAnsi="Times New Roman" w:cs="Times New Roman"/>
          <w:color w:val="000000"/>
        </w:rPr>
        <w:t xml:space="preserve">, were convicted by the Senior Principal Magistrate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for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robbery with violence contrary to section 296(2) of the Penal Code and each sentenced to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 being the mandatory sentence under the law. The second appellant was the first accused at the trial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 the first appellant was the second accused. Their respective appeals, which were consolidated at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hearing, were dismissed by the superior court. This is a second consolidated appeal.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particulars of the charge alleged that on the night of 15 June 2001, the two appellants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another, who was acquitted, jointly with others not before the court, being armed with dangerous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weapons namely a Somali sword, metal bars and a </w:t>
      </w:r>
      <w:proofErr w:type="spellStart"/>
      <w:r>
        <w:rPr>
          <w:rFonts w:ascii="Times New Roman" w:hAnsi="Times New Roman" w:cs="Times New Roman"/>
          <w:color w:val="000000"/>
        </w:rPr>
        <w:t>rungu</w:t>
      </w:r>
      <w:proofErr w:type="spellEnd"/>
      <w:r>
        <w:rPr>
          <w:rFonts w:ascii="Times New Roman" w:hAnsi="Times New Roman" w:cs="Times New Roman"/>
          <w:color w:val="000000"/>
        </w:rPr>
        <w:t xml:space="preserve">, robbed Jacinta </w:t>
      </w:r>
      <w:proofErr w:type="spellStart"/>
      <w:r>
        <w:rPr>
          <w:rFonts w:ascii="Times New Roman" w:hAnsi="Times New Roman" w:cs="Times New Roman"/>
          <w:color w:val="000000"/>
        </w:rPr>
        <w:t>Wairimu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of her video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camera (make Samsung serial numbers 67N807904L), a camera (make </w:t>
      </w:r>
      <w:proofErr w:type="spellStart"/>
      <w:r>
        <w:rPr>
          <w:rFonts w:ascii="Times New Roman" w:hAnsi="Times New Roman" w:cs="Times New Roman"/>
          <w:color w:val="000000"/>
        </w:rPr>
        <w:t>kodak</w:t>
      </w:r>
      <w:proofErr w:type="spellEnd"/>
      <w:r>
        <w:rPr>
          <w:rFonts w:ascii="Times New Roman" w:hAnsi="Times New Roman" w:cs="Times New Roman"/>
          <w:color w:val="000000"/>
        </w:rPr>
        <w:t xml:space="preserve"> serial number 0384041), a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mobile telephone (make Ericsson T10S) and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7 000 all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 and at, or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after, the time of such robbery, used personal violence against her.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15 June 2001 at about 9:00 pm, Jacinta </w:t>
      </w:r>
      <w:proofErr w:type="spellStart"/>
      <w:r>
        <w:rPr>
          <w:rFonts w:ascii="Times New Roman" w:hAnsi="Times New Roman" w:cs="Times New Roman"/>
          <w:color w:val="000000"/>
        </w:rPr>
        <w:t>Wairimu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(Jacinta) (PW1) was in her house in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outskirts of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Town. She was in the company of three people – her two workers, namely Grace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Atieno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Nyahu</w:t>
      </w:r>
      <w:proofErr w:type="spellEnd"/>
      <w:r>
        <w:rPr>
          <w:rFonts w:ascii="Times New Roman" w:hAnsi="Times New Roman" w:cs="Times New Roman"/>
          <w:color w:val="000000"/>
        </w:rPr>
        <w:t xml:space="preserve"> (Grace) (PW2), Jane </w:t>
      </w:r>
      <w:proofErr w:type="spellStart"/>
      <w:r>
        <w:rPr>
          <w:rFonts w:ascii="Times New Roman" w:hAnsi="Times New Roman" w:cs="Times New Roman"/>
          <w:color w:val="000000"/>
        </w:rPr>
        <w:t>Cherono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  <w:r>
        <w:rPr>
          <w:rFonts w:ascii="Times New Roman" w:hAnsi="Times New Roman" w:cs="Times New Roman"/>
          <w:color w:val="000000"/>
        </w:rPr>
        <w:t xml:space="preserve"> (Jane) (PW5) and a visitor. At about 9:00 pm, the two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workers opened the door and went out for a short call. Thereafter, Jacinta heard a loud bang on the door.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took a big and powerful torch and went towards the door. She met three people at the door of her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sitting room; two of whom were later identified as Geoffrey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Kinuthia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appellant),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Samuel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(first appellant). The first appellant was armed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armed with a sword. The second appellant pushed Jacinta and forced her to lie down. 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placed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her neck and demanded money. She was then pushed into the bedroom where she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produced a video camera, mobile phone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7 000. She was taken back to the sitting room where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found two other people (not among the three who first entered into the house). The first appellant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two boxes of clothes after which the robbers disappeared. The robbery was reported to the police.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Ruto</w:t>
      </w:r>
      <w:proofErr w:type="spellEnd"/>
      <w:r>
        <w:rPr>
          <w:rFonts w:ascii="Times New Roman" w:hAnsi="Times New Roman" w:cs="Times New Roman"/>
          <w:color w:val="000000"/>
        </w:rPr>
        <w:t xml:space="preserve"> (PW3) and other police officers went to the scene at 1:00am. He recovered a Somali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sword and a cap which were abandoned at the scene.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returned to the scene. The following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morning, an old cap was recovered outside the gate. On information,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went to </w:t>
      </w:r>
      <w:proofErr w:type="spellStart"/>
      <w:r>
        <w:rPr>
          <w:rFonts w:ascii="Times New Roman" w:hAnsi="Times New Roman" w:cs="Times New Roman"/>
          <w:color w:val="000000"/>
        </w:rPr>
        <w:t>Berir</w:t>
      </w:r>
      <w:proofErr w:type="spellEnd"/>
      <w:r>
        <w:rPr>
          <w:rFonts w:ascii="Times New Roman" w:hAnsi="Times New Roman" w:cs="Times New Roman"/>
          <w:color w:val="000000"/>
        </w:rPr>
        <w:t xml:space="preserve"> Farm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about 1 km from the scene of the robbery and arrested the first appellant. On interrogation,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led police to the house of the second appellant at 11:00am. The second appellant attempted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run away but was arrested. On interrogation, the second appellant removed a Kodak camera and a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mobile phone from the house and gave them to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>. The second appellant was asked about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video camera. He said that it was with somebody else, whom he named. While outside the house, PC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saw a place, outside the house, where the soil was disturbed. He dug up the place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 a battery of a video camera. On further search, a video camera was found hidden in the flower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garden. Thereafter, the appellants led police to another house, where two masks used during the robbery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recovered. On 18 June 2001, each of the two appellants were identified by Jacinta, Grace and Jane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respective identification parades conducted by IP Lucy </w:t>
      </w:r>
      <w:proofErr w:type="spellStart"/>
      <w:r>
        <w:rPr>
          <w:rFonts w:ascii="Times New Roman" w:hAnsi="Times New Roman" w:cs="Times New Roman"/>
          <w:color w:val="000000"/>
        </w:rPr>
        <w:t>Mbathia</w:t>
      </w:r>
      <w:proofErr w:type="spellEnd"/>
      <w:r>
        <w:rPr>
          <w:rFonts w:ascii="Times New Roman" w:hAnsi="Times New Roman" w:cs="Times New Roman"/>
          <w:color w:val="000000"/>
        </w:rPr>
        <w:t xml:space="preserve"> (PW6). The property recovered in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 of the second appellant were identified by Jacinta as hers at the trial.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made a brief unsworn statement at the trial that he was arrested by two people who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him to the police station where an identification parade was conducted.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also made an unsworn statement at the trial. According to him, he was arrested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five people who searched his house and removed a hammer and a saw. He was then taken to the house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complainant where he stayed for half an hour. He then saw a </w:t>
      </w:r>
      <w:r>
        <w:rPr>
          <w:rFonts w:ascii="Times New Roman" w:hAnsi="Times New Roman" w:cs="Times New Roman"/>
          <w:color w:val="000000"/>
        </w:rPr>
        <w:lastRenderedPageBreak/>
        <w:t>police officer with goods. He was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the police station where an identification parade was conducted.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made a specific finding that the complainant was robbed of the goods listed in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sheet. The first appellant was convicted on the basis of the evidence, that upon arrest he led police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second appellant where stolen goods were recovered and, further, that he was identified by Jacinta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Grace. The second appellant was convicted on the basis of two pieces of evidence, </w:t>
      </w:r>
      <w:proofErr w:type="spellStart"/>
      <w:r>
        <w:rPr>
          <w:rFonts w:ascii="Times New Roman" w:hAnsi="Times New Roman" w:cs="Times New Roman"/>
          <w:color w:val="000000"/>
        </w:rPr>
        <w:t>viz</w:t>
      </w:r>
      <w:proofErr w:type="spellEnd"/>
      <w:r>
        <w:rPr>
          <w:rFonts w:ascii="Times New Roman" w:hAnsi="Times New Roman" w:cs="Times New Roman"/>
          <w:color w:val="000000"/>
        </w:rPr>
        <w:t>, he was in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of a video camera, mobile phone and a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kodak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camera and that he was identified by Jacinta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Jane.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>, who appears for the first appellant in this Court, argued the appeal on behalf of both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in the superior court.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challenge in the superior court against the finding that they were identified at the time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robbery was sustained.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Nevertheless, the superior court dismissed the appeal of the first appellant because: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first appellant was also connected to the robbery by the cap that was found at the scene of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robbery,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identified to belong to him. He also led the police to the house of the second appellant where the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stolen items were recovered and, further,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Menengai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house where the masks used in the robbery were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recovered”.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appeal of the second appellant was also dismissed. The superior court was satisfied that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 found in recent possession of video camera, mobile phone and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kodak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camera belonging to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complainant, which led to the inference that he was involved in the robbery.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convenient to deal with the appeal of the second appellant first. He states, in his grounds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that the superior court erred in law in finding that he was in possession of stolen properties and in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applying the doctrine of recent possession to him. In support of the grounds of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color w:val="000000"/>
        </w:rPr>
        <w:t>, for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appellant, submitted, among other things, that the doctrine of recent possession did not apply to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for two reasons: Firstly, the complainant did not conclusively identify the recovered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 as hers as the complainant failed to proclaim the goods as hers in the evidence and to produce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receipts and secondly, the stolen properties were not recovered in the house of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On the question whether or not the stolen goods were recovered in the house of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the appellant stated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when his house was searched only a hammer and a saw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recovered.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tacitly admitted that the goods alleged to have been recovered from his house belonged to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for he stated that they were removed from the complainant’s house by a police officer. It is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identification of stolen goods by concrete evidence which matters and not the public proclamation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ownership in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house where the goods were allegedly recovered was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proved as belonging to the second appellant and that there is a possibility that the house belonged to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somebody else. The second appellant did not deny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house where he was found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searched did not belong to him. To the contrary, he admitted that his house was searched but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that the goods were recovered from his house. The ownership of the house where the stolen goods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recovered, and the question of recovery of the goods, are matters of fact which are not normally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 of a second appellate court. The trial court made a finding that the stolen goods were recovered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house of the second appellant. The superior court, as required by law, re-considered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re-evaluated the evidence and reached a concurrent finding. It has not been shown that the two courts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misdirected themselves in any material way or that there was no evidence to support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concurrent finding. There are no reasons for interfering with the concurrent findings of fact.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Similarly, the two courts below were satisfied that Jacinta had identified all stolen goods as hers.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recovered within 24 hours of the robbery. Their serial numbers were stated in the charge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sheet. Neither the prosecution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nor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second appellant, raised any doubt about the ownership of the recovered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goods. The statement of the second appellant supported the evidence that the goods belonged to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as he said that a police officer recovered the goods from the complainant’s house.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accessories (bags) of the video camera and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kodak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camera recovered were still in the complainant’s house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were produced in court.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[1970] EA 105 has been quoted out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context. There, the court rejected the bare statement of a person found in possession of stolen goods, that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had bought them from another person, in the absence of documents evidencing the sale transaction.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is not the case here. Nor can it be said as it was, in </w:t>
      </w:r>
      <w:r>
        <w:rPr>
          <w:rFonts w:ascii="Times New Roman" w:hAnsi="Times New Roman" w:cs="Times New Roman"/>
          <w:i/>
          <w:iCs/>
          <w:color w:val="000000"/>
        </w:rPr>
        <w:t xml:space="preserve">Ibrahim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Lekalero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</w:t>
      </w:r>
      <w:r w:rsidR="0050263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appeal number 52 of 1999 (UR) that the goods found in possession of the second appellant were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 goods or goods of common usage, which are generally available everywhere.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satisfied, like the two courts below, that the second appellant was found in possession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goods recently stolen from the complainant and that a presumption that he was one of the </w:t>
      </w:r>
      <w:r>
        <w:rPr>
          <w:rFonts w:ascii="Times New Roman" w:hAnsi="Times New Roman" w:cs="Times New Roman"/>
          <w:color w:val="000000"/>
        </w:rPr>
        <w:lastRenderedPageBreak/>
        <w:t>robbers, was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drawn.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possession of the video camera, mobile phone and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kodak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camera belonging to the complainant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leads to the inference that he was involved in the robbery.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complains in his grounds of appeal that the superior court erred in law and fact in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that the cap recovered at the scene belonged to him; in upholding his conviction on the basis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recent possession of the stolen goods and in finding that he led police to the arresting of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and to the recovery of the stolen goods.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>, for the first appellant, further submitted,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 appeal, that what the second appellant told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about the identity of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who robbed the complainant is a confession which is inadmissible; that first appellant did not say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goods were and therefore did not lead police to the discovery of the stolen goods and that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of recent possession does not apply to the first appellant. We readily agree that the two courts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erred in law in finding that the cap connected the first appellant with the offence. The person who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the cap belonged to the first appellant was not called to give evidence. The evidence of PC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regarding the ownership of the cap, therefore, was hearsay. Furthermore, there was no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the first appellant was wearing the cap at the time of the robbery. It is true that what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appellant told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about the identity of the people who robbed the complainant was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essentially a confession which was not admissible, however, neither the trial magistrate, nor the superior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relied on such evidence as connecting the first appellant to the offence.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conviction of the first appellant was upheld mainly because he led police to the house of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where stolen goods were recovered. The first appellant was convicted at the time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31 of the Evidence Act was operative. That section provided: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the provisions of sections 26, 28 and 29, when any fact is deposed to as discovered in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consequence of information received from a person accused of any offence, so much of such information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it amounts to a confession or not, as relates distinctly to the fact thereby discovered may be proved.”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That section was, however, replaced by the Criminal Law (Amendment) Act 5 of 2005, which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 on 25 July 2005.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>, the second appellant told him that he could lead him to the home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(first appellant) with whom he was (at the time of the robbery). There were concurrent findings of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by the two courts below, that the first appellant led police to the house of the second appellant where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was arrested and some stolen goods recovered. We have no reasons for interfering with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concurrent findings of fact.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phrase “be in possession of” or “have in possession” is defined in section 4 of the Penal Code at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as: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“Includes not only having in one’s own personal possession, but who knowingly having anything in the actual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possession or custody of any other person, or having anything in any place (whether belonging to or occupied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oneself or not) for the use of benefit of oneself or of any other person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  <w:r w:rsidR="005026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according to the second definition of “possession”, also in section 4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if the first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in possession of the stolen goods with the knowledge and consent of the second appellant,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would in law be deemed to have possession of such goods.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the information which the first appellant gave to PC </w:t>
      </w:r>
      <w:proofErr w:type="spellStart"/>
      <w:r>
        <w:rPr>
          <w:rFonts w:ascii="Times New Roman" w:hAnsi="Times New Roman" w:cs="Times New Roman"/>
          <w:color w:val="000000"/>
        </w:rPr>
        <w:t>Kipchumba</w:t>
      </w:r>
      <w:proofErr w:type="spellEnd"/>
      <w:r>
        <w:rPr>
          <w:rFonts w:ascii="Times New Roman" w:hAnsi="Times New Roman" w:cs="Times New Roman"/>
          <w:color w:val="000000"/>
        </w:rPr>
        <w:t xml:space="preserve"> which led to the arrest and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recovery of most of the stolen goods that evidence was admissible by virtue of section 31 of the Evidence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as it then stood.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evidence that the first appellant led police to the house of the second appellant where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was arrested and stolen goods recovered, it can be inferred that he knew that the second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involved in the robbery and that he was in possession of the stolen goods. In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he is deemed to have been in constructive possession of the stolen goods jointly without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appellant. An inference that he was also involved in the robbery was correctly drawn by the</w:t>
      </w:r>
      <w:r w:rsidR="005026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courts below. We similarly find no merit in the appeal of the first appellant.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those reasons, we dismiss the appeal of the first and second appellants.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appellant: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appellant:</w:t>
      </w:r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</w:p>
    <w:p w:rsidR="000B37EB" w:rsidRDefault="000B37EB" w:rsidP="000B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0B37EB" w:rsidP="000B37EB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EB"/>
    <w:rsid w:val="000B37EB"/>
    <w:rsid w:val="00502636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D045-D7C9-4097-8052-65DB8966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2018-07-04T19:09:00Z</dcterms:created>
  <dcterms:modified xsi:type="dcterms:W3CDTF">2018-07-12T19:34:00Z</dcterms:modified>
</cp:coreProperties>
</file>