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Kariuki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Irungu</w:t>
      </w:r>
      <w:proofErr w:type="spellEnd"/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24 February 2004</w:t>
      </w:r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892/00</w:t>
      </w:r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Third party – When a third party may be lawfully joined – Whether subject matter</w:t>
      </w:r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between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plaintiff, defendant and third party must be same – Procedure – Application to strike out third</w:t>
      </w:r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party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notice – When application should be filed – Order I, rule 18 – Civil Procedure Rules.</w:t>
      </w:r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Insurance – Third party – Whether insurance company may be joined as a third party in an accident</w:t>
      </w:r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claim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striking out third party diminishes insurance obligation to satisfy judgment eventually</w:t>
      </w:r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passed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Section 10(1) Insurance (Motor Vehicle Third Party Risks) Act.</w:t>
      </w:r>
    </w:p>
    <w:p w:rsidR="002012BB" w:rsidRDefault="006F09C7" w:rsidP="006F09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OCHIENG J: </w:t>
      </w:r>
      <w:r>
        <w:rPr>
          <w:rFonts w:ascii="Times New Roman" w:hAnsi="Times New Roman" w:cs="Times New Roman"/>
          <w:color w:val="000000"/>
        </w:rPr>
        <w:t>The suit herein was instituted by the plaintiff in his capacity as the legal representative of</w:t>
      </w:r>
    </w:p>
    <w:p w:rsidR="002012BB" w:rsidRDefault="002012BB" w:rsidP="006F09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James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Njuguna</w:t>
      </w:r>
      <w:proofErr w:type="spellEnd"/>
      <w:r>
        <w:rPr>
          <w:rFonts w:ascii="Times New Roman" w:hAnsi="Times New Roman" w:cs="Times New Roman"/>
          <w:color w:val="000000"/>
        </w:rPr>
        <w:t xml:space="preserve"> who died following an accident. The respondent as the registered owner of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motor vehicle in which James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Njuguna</w:t>
      </w:r>
      <w:proofErr w:type="spellEnd"/>
      <w:r>
        <w:rPr>
          <w:rFonts w:ascii="Times New Roman" w:hAnsi="Times New Roman" w:cs="Times New Roman"/>
          <w:color w:val="000000"/>
        </w:rPr>
        <w:t xml:space="preserve"> was travelling, as a passenger, at the time of the accident.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the respondent had filed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he applied to this Court for leave to issue a third party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notice. Although I have failed to trace the proceedings in which the Court granted leave, I do not doubt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existence. In any event, the parties herein have not made that an issue before me. I will therefore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presume that the Court did grant the requisite leave.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records show that the third party notice was served upon the third party on 24 November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2000. After the third party entered appearance, the respondent filed an application pursuant to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Order 1, rule 18 of the Civil Procedure Rules, seeking directions. The said application for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directions is dated 2 March 2001, and was filed on the same date. The third party responded by filing a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preliminary objection, and also by lodging an application to strike out the third party notice.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matter before the Court today is the application by the third party to strike out the third party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notice. The said application, which is dated 6 March 2001 also, seeks consequential orders, to set aside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third party proceedings, as well as the costs of the said proceedings.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Munene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who appeared for the applicant submitted that pursuant to the provision of section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10(1) of the Insurance (Motor Vehicles Third Party Risks) Act Chapter 405, an insurer could only be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liable after judgment had been entered against its insured. Therefore as this claim against the insured was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still at the stages of infancy, the third party proceedings would be an abuse of court process.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 cited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Carpenter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Ebblewhite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[1938] KB 41 as authority for the submission that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there was no dispute between the insurer and the insured, the third party proceedings would be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deemed frivolous.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read the </w:t>
      </w:r>
      <w:r>
        <w:rPr>
          <w:rFonts w:ascii="Times New Roman" w:hAnsi="Times New Roman" w:cs="Times New Roman"/>
          <w:i/>
          <w:iCs/>
          <w:color w:val="000000"/>
        </w:rPr>
        <w:t xml:space="preserve">Carpenter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Ebblewhite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I have noted that the plaintiff in that case had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incorporated into his statement of claim, a prayer for a declaration that the insurance company was liable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satisfy any judgment which the plaintiff obtained against the respondent. To that extent therefore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is distinguishable from the matter before me. However, I deemed it instructive to recite here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editorial note, which reads as follows: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has long been the policy of the law that an action for personal injuries should be contested in ignorance of,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regardless of, the fact the respondent is insured. This addition to the parties of that action would avoid a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subsequent action between the successful plaintiff and the insurance company, and would do much to reduce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costs in such cases; but as the judgments herein clearly demonstrate, such addition is in many respects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contrary to the policy of the law”.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my considered view that the policy of the law was, and still is that a claim against a respondent ought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proceed to trial regardless of whether or not the said </w:t>
      </w:r>
      <w:proofErr w:type="spellStart"/>
      <w:r>
        <w:rPr>
          <w:rFonts w:ascii="Times New Roman" w:hAnsi="Times New Roman" w:cs="Times New Roman"/>
          <w:color w:val="000000"/>
        </w:rPr>
        <w:t>respondet</w:t>
      </w:r>
      <w:proofErr w:type="spellEnd"/>
      <w:r>
        <w:rPr>
          <w:rFonts w:ascii="Times New Roman" w:hAnsi="Times New Roman" w:cs="Times New Roman"/>
          <w:color w:val="000000"/>
        </w:rPr>
        <w:t xml:space="preserve"> is insured. The presence or lack of an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policy must not be allowed to influence the mind of the trial court when it is called upon to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adjudicate on the issues of liability of the respondent, and the quantum, if any, to be awarded. Similarly,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in the event that the respondent was insured, I think that the Court handling the case ought not to be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influenced, (at the time when it is handling the dispute between the plaintiff and the respondent), by such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considerations as to whether the insurance policy is valid, void, voidable or is otherwise the subject of a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between the respondent and the insurer. I have made these observations not by way of concluding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application, but only to illustrate one point: that notwithstanding the outcome of the present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application, I strongly believe </w:t>
      </w:r>
      <w:r>
        <w:rPr>
          <w:rFonts w:ascii="Times New Roman" w:hAnsi="Times New Roman" w:cs="Times New Roman"/>
          <w:color w:val="000000"/>
        </w:rPr>
        <w:lastRenderedPageBreak/>
        <w:t>that it would be undesirable for a court to hear a case between the plaintiff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respondent, at the same time as a claim between the said respondent and his insurer.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from a more practical approach to the matter, I ask myself what role the insurance company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playing on the issue of liability between the plaintiff and respondent. Would an insurance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have any evidence on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</w:t>
      </w:r>
      <w:proofErr w:type="spellStart"/>
      <w:r>
        <w:rPr>
          <w:rFonts w:ascii="Times New Roman" w:hAnsi="Times New Roman" w:cs="Times New Roman"/>
          <w:color w:val="000000"/>
        </w:rPr>
        <w:t>maters</w:t>
      </w:r>
      <w:proofErr w:type="spellEnd"/>
      <w:r>
        <w:rPr>
          <w:rFonts w:ascii="Times New Roman" w:hAnsi="Times New Roman" w:cs="Times New Roman"/>
          <w:color w:val="000000"/>
        </w:rPr>
        <w:t xml:space="preserve"> save that which it obtained from the insured and possibly from an investigator? I do not think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so. Of course, I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the fact that an insurance company would most probably have greater financial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resources that would make the life of an insured more comfortable if the said insurance company gave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 backing in the investigations and legal representation. However, the insurance company as far as I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 aware is not generally under an obligation to provide logistical support to the insured.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legal responsibility imposed by the statute Chapter 405 is to pay to the persons entitled to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benefit of a judgments obtained against the insured. For these reasons, an insurance company might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deem it prudent to actively participate in legal proceedings involving its insured, as by so doing they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an active participant in proceedings that would possibly have a direct impact on them. But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does not generally impose an obligation on the insurance company to provide legal representation to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insured. However, I do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the fact that an obligation to provide legal representation may arise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contractually, if so provided for in the policy of insurance.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party has submitted that the notice issued to it should be struck out because the subject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between the plaintiff and respondent is completely different from that between the respondent and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party.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between the plaintiff and respondent, the claim is founded on tort and it arises out of a road traffic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accident. On the other hand, the subject matter between the respondent and the third party arises out of a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of insurance. In support of its arguments, the third party has cited the decision of Lyon J in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Walusumbi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of Uganda </w:t>
      </w:r>
      <w:r>
        <w:rPr>
          <w:rFonts w:ascii="Times New Roman" w:hAnsi="Times New Roman" w:cs="Times New Roman"/>
          <w:color w:val="000000"/>
        </w:rPr>
        <w:t>[1959] EA 223.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that case the Court held that in order that a third party be lawfully joined, the subject matter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third party and respondent must be the same as the subject matter between plaintiff and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and the original cause of action must be the same.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answer to the application the respondent’s advocate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Kahonge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Civil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Rules do not set out any procedure for striking out third party notices. He said that the only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that address the subject of striking out pleadings is Order VI, rule 13. He therefore urged me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dismiss the application. However, I do not find merit in this particular submission. As far as I am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concerned, the absence of any specific rule for filing an application to strike out a third party notice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not be a bar to such an application. I fully accept 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Munene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on this point; that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L, rule 12 provides a complete answer to the matter. The said rule provides as follows: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“Every order, rule or other statutory provision under or by virtue of which any application is made must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ordinarily be stated, but no objection shall be made and no application shall be refused merely by reason of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failure to comply with this rule”.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also submitted that this application was premature. Their contention is that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should be dismissed, or at the very least be stayed pending the hearing of the respondent’s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directions. As far as the respondent is concerned, the third party ought to canvass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raised by this application at the stage of directions. It was pointed out to the Court that in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Yafesi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the issue was dealt with during the summons for the third party directions.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with the respondent’s observation that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Yafesi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the issue was dealt with at the stage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third party directions. But as I have noted earlier in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ruling I do not believe that the lack of a specific provision for making the application would be fatal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said application. I also believe that it is not mandatory that relief has to be sought in exactly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manner as was done in previous cases. In any event I find it hard to reconcile the respondent’s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on this point, to the earlier submission to the effect that the Civil Procedure Rules do not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any specific provisions for an application to strike out a third party notice. If there are no specific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as stated by the respondent, why should the third party wait until the hearing of the application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direction to put forward its case for wanting to cease being party to this suit? But I believe that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answer is to be found in Order 1, rule 18, which provides as follows: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a third party enters an appearance pursuant to the third party notice, the respondents giving the notice may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apply for directions, and the Court upon the hearing of such application may, if satisfied that there is a proper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question to be tried as to the liability of the third party, order the question of such liability as between the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third party and the respondent giving the notice to be tried in such manner, at or after the trial of the suit as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may direct; and, if not so satisfied, may order such judgment as the nature of the case may require to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 entered in favour of the respondent giving notice against the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third party”.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Yafesi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when the Court was commenting on the scope of the legal provisions governing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of direction, it had the following to say;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powers of the Court on the application for directions are now very wide. The master may at any time set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aside third party proceedings”.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Thus I do come to the conclusion that Order 1, rule 18 does provide the third party an opportunity at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they can have the third party notice set aside. It does therefore follow that this application was,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strictly, not necessary. The third party could have canvassed the same issue at the hearing of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application for directions. The said application for directions is still pending before this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To that extent I must agree with the respondent’s assertion that the application to strike out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party notice was premature.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manner in which the application has been drawn up gives the Court only 2 options; to either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strike out the third party notice, or otherwise hold that it should remain in force. In contrast,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Order 1, rule 18 give the Court several options. The Court could strike out the third party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notice; or it could direct that the issue of liability be tried at the trial. The third option is for the Court to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 that the issue of liability be tried after the trial of the suit. In effect, the rule provides a much more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conducive opportunity to address the issues pertaining to the manner in which the third party notice can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dealt with.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in the final analysis, I cannot see the purpose that would be served by my putting off my decision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this </w:t>
      </w:r>
      <w:proofErr w:type="spellStart"/>
      <w:r>
        <w:rPr>
          <w:rFonts w:ascii="Times New Roman" w:hAnsi="Times New Roman" w:cs="Times New Roman"/>
          <w:color w:val="000000"/>
        </w:rPr>
        <w:t>mater</w:t>
      </w:r>
      <w:proofErr w:type="spellEnd"/>
      <w:r>
        <w:rPr>
          <w:rFonts w:ascii="Times New Roman" w:hAnsi="Times New Roman" w:cs="Times New Roman"/>
          <w:color w:val="000000"/>
        </w:rPr>
        <w:t>, and asking another Judge to deal with a matter that has been fully canvassed before me,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for the reason that the matter ought to be dealt with at the hearing of the application for directions. I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 fortified in my decision to make a substantive decision on the application, (even though it may have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brought prematurely, and under the wrong procedure), by the decision of the Court of Appeal in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Varsani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Kanjee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Naranjee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(Kenya) Limited </w:t>
      </w:r>
      <w:r>
        <w:rPr>
          <w:rFonts w:ascii="Times New Roman" w:hAnsi="Times New Roman" w:cs="Times New Roman"/>
          <w:color w:val="000000"/>
        </w:rPr>
        <w:t>[1977] KLR 171 at 174. In that case the Court of Appeal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expressed itself thus;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“Besides, we note that the Judge went ahead and heard the application notwithstanding his view that the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wrong procedure had been adopted and gave a reasoned ruling. This being so, the question of the procedure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this case is of academic interest and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cannot affect this Court’s decision on the merits of the application,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Khanna argues that the holding at that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stage was judicial to the applicant. We do not agree, right or wrong the Judge gave no reasons for his decision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we do not agree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Khanna’s submission that, having held that the wrong procedure had been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adopted, the Judge’s reasons for dismissing the application should be regarded as obiter. He made it clear that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although he considered the procedure by way of chamber summons to be wrong he would nevertheless deal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it, and this he did.”</w:t>
      </w:r>
      <w:r w:rsidR="006F0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10(1) of Chapter 405 imposes a duty on the insurer to satisfy a judgment against the insured.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company herein does not wish to participate in the trial of the dispute between the plaintiff and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respondent. I cannot see any justification for forcing them to continue to participate in the said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 I do therefore grant the prayers numbered 1, 2 and 3 in the chamber summons dated 6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March 2000. But the respondent should nonetheless take comfort in the provisions of section 10(1) of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(Motor Vehicles third party risks) Act Chapter 405. By striking out the third party notice,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has not in any way dismissed the duty imposed on the insurance company to satisfy the judgment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(if any), that may be passed against the respondent.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conclusion, I do strike out the third party notice. However, each party will bear its one costs of the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</w:t>
      </w:r>
      <w:r w:rsidR="006F0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applicant:</w:t>
      </w:r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Munene</w:t>
      </w:r>
      <w:proofErr w:type="spellEnd"/>
    </w:p>
    <w:p w:rsidR="002012BB" w:rsidRDefault="002012BB" w:rsidP="0020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97396" w:rsidRDefault="002012BB" w:rsidP="002012BB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Kahonge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Macharia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Kahonge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BB"/>
    <w:rsid w:val="002012BB"/>
    <w:rsid w:val="006F09C7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46EBF-A74E-44AE-8170-0E7DE424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2018-07-03T14:02:00Z</dcterms:created>
  <dcterms:modified xsi:type="dcterms:W3CDTF">2018-07-12T19:36:00Z</dcterms:modified>
</cp:coreProperties>
</file>