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Karmali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CFC Bank Limited and another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May 2006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3/06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Charges and mortgages – Distinction between charges and mortgages – Variation of interest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clauses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such clauses render a charge void – Undue influence and coercion against surety –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husband and wife relation can raise presumption of undue influence.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15215" w:rsidRDefault="00660567" w:rsidP="00615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10 January 2006, the two plaintiffs filed a suit and simultaneously filed a Chamber Summons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through which they sought interlocutory injunctive reliefs. The grounds for the injunctive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sought were that the second plaintiff had been coerced to execute the charge document. The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plaintiff’s case was that her husband, the first plaintiff, caused her to execute the charge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so as to secure some debt which Hyundai Motors Limited owed to the first defendant. The first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a director of Hyundai Motors Limited. In turn, the company was indebted to the first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 The first defendant was alleged to have exerted pressure on Hyundai Motors Limited to pay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debt. Being a director in Hyundai Motors Limited, the first plaintiff was personally under pressure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both his fellow directors as well as from the first defendant. The first plaintiff, therefore, alleged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pressure on her husband was visited upon her to concede to charging the suit property. The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plaintiffs also contended that no statutory power of sale could issue on the basis of section 46 of the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Titles Act which makes it mandatory for all charge documents to conform to the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requirements of either form </w:t>
      </w:r>
      <w:proofErr w:type="gramStart"/>
      <w:r>
        <w:rPr>
          <w:rFonts w:ascii="Times New Roman" w:hAnsi="Times New Roman" w:cs="Times New Roman"/>
          <w:color w:val="000000"/>
        </w:rPr>
        <w:t>J(</w:t>
      </w:r>
      <w:proofErr w:type="gramEnd"/>
      <w:r>
        <w:rPr>
          <w:rFonts w:ascii="Times New Roman" w:hAnsi="Times New Roman" w:cs="Times New Roman"/>
          <w:color w:val="000000"/>
        </w:rPr>
        <w:t>1) or J(2) in respect of interest rates. The charge was further faulted for not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an </w:t>
      </w:r>
      <w:proofErr w:type="spellStart"/>
      <w:r>
        <w:rPr>
          <w:rFonts w:ascii="Times New Roman" w:hAnsi="Times New Roman" w:cs="Times New Roman"/>
          <w:color w:val="000000"/>
        </w:rPr>
        <w:t>armotisation</w:t>
      </w:r>
      <w:proofErr w:type="spellEnd"/>
      <w:r>
        <w:rPr>
          <w:rFonts w:ascii="Times New Roman" w:hAnsi="Times New Roman" w:cs="Times New Roman"/>
          <w:color w:val="000000"/>
        </w:rPr>
        <w:t xml:space="preserve"> clause as required by statute because it allowed penalties which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makes </w:t>
      </w:r>
      <w:proofErr w:type="spellStart"/>
      <w:r>
        <w:rPr>
          <w:rFonts w:ascii="Times New Roman" w:hAnsi="Times New Roman" w:cs="Times New Roman"/>
          <w:color w:val="000000"/>
        </w:rPr>
        <w:t>armotisation</w:t>
      </w:r>
      <w:proofErr w:type="spellEnd"/>
      <w:r>
        <w:rPr>
          <w:rFonts w:ascii="Times New Roman" w:hAnsi="Times New Roman" w:cs="Times New Roman"/>
          <w:color w:val="000000"/>
        </w:rPr>
        <w:t xml:space="preserve"> impossible. The charge was even further faulted for violating section 39(1) of the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Central Bank of Kenya Act 4 of 2001, which pegged interest chargeable by mortgagees to the 91-day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Treasury </w:t>
      </w:r>
      <w:proofErr w:type="gramStart"/>
      <w:r>
        <w:rPr>
          <w:rFonts w:ascii="Times New Roman" w:hAnsi="Times New Roman" w:cs="Times New Roman"/>
          <w:color w:val="000000"/>
        </w:rPr>
        <w:t>Bill</w:t>
      </w:r>
      <w:proofErr w:type="gramEnd"/>
      <w:r>
        <w:rPr>
          <w:rFonts w:ascii="Times New Roman" w:hAnsi="Times New Roman" w:cs="Times New Roman"/>
          <w:color w:val="000000"/>
        </w:rPr>
        <w:t xml:space="preserve"> rates.</w:t>
      </w:r>
    </w:p>
    <w:p w:rsidR="00615215" w:rsidRDefault="00615215" w:rsidP="00615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60567" w:rsidRDefault="00660567" w:rsidP="00615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Under the Registration of Titles Act, the only form of security is a charge. It is, therefore, not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to create a mortgage under the Registration of Titles Act.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reference to a “mortgagor” instead of “charger” by itself does not invalidate a charge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instrument.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charge instrument which provided for variable interest would not be void or voidable simply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did not specify one rate of interest or a specified instalment amount.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parties to a charge instrument agree that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may vary the rate of interest, and the said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is incorporated into the </w:t>
      </w:r>
      <w:bookmarkStart w:id="0" w:name="_GoBack"/>
      <w:bookmarkEnd w:id="0"/>
      <w:r w:rsidR="00615215">
        <w:rPr>
          <w:rFonts w:ascii="Times New Roman" w:hAnsi="Times New Roman" w:cs="Times New Roman"/>
          <w:color w:val="000000"/>
        </w:rPr>
        <w:t>instrument that</w:t>
      </w:r>
      <w:r>
        <w:rPr>
          <w:rFonts w:ascii="Times New Roman" w:hAnsi="Times New Roman" w:cs="Times New Roman"/>
          <w:color w:val="000000"/>
        </w:rPr>
        <w:t xml:space="preserve"> does not amount to a deviation from the forms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provided in the schedule to the Registration of Titles Act. A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is not compelled by statute to charge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fixed interest on the facility it may accord to the charger.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 creditor should issue a lawful demand, which is intended to lead to the recovery of a debt through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court process, the creditor cannot be accused of duress or coercion.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creditor is aware that the debtor and surety are husband and wife, and the transaction is on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face not to the financial advantage of the surety as well as the debtor, the creditor will be fixed with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constructive notice of undue influence, misrepresentation or other legal wrong by the debtor unless it has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reasonable steps to satisfy itself that the surety has entered into the obligation freely and with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true facts.</w:t>
      </w:r>
      <w:r w:rsidR="00615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issued.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Ronak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EA 54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Company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EA 358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Commercial Finance Company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Ngeny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[2002] 1 KLR 106</w:t>
      </w:r>
    </w:p>
    <w:p w:rsidR="00660567" w:rsidRDefault="00660567" w:rsidP="0066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Ottoman Bank v KS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[1965] EA 464</w:t>
      </w:r>
    </w:p>
    <w:p w:rsidR="00AB7022" w:rsidRDefault="00660567" w:rsidP="00660567"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Housing Finance Company of Kenya Limited </w:t>
      </w:r>
      <w:r>
        <w:rPr>
          <w:rFonts w:ascii="Times New Roman" w:hAnsi="Times New Roman" w:cs="Times New Roman"/>
          <w:color w:val="000000"/>
        </w:rPr>
        <w:t>[2001] 2 EA 540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67"/>
    <w:rsid w:val="00615215"/>
    <w:rsid w:val="00660567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9E79-C53C-4BAA-B94B-6B770719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2018-07-05T06:18:00Z</dcterms:created>
  <dcterms:modified xsi:type="dcterms:W3CDTF">2018-07-12T19:36:00Z</dcterms:modified>
</cp:coreProperties>
</file>