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Karmali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CFC Bank Limited and another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May 2006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3/06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Charges and mortgages – Distinction between charges and mortgages – Variation of interest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clauses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such clauses render a charge void – Undue influence and coercion against surety –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husband and wife relation can raise presumption of undue influence.</w:t>
      </w:r>
    </w:p>
    <w:p w:rsidR="00E35C28" w:rsidRDefault="003B4784" w:rsidP="003B47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E35C28" w:rsidRDefault="00E35C28" w:rsidP="003B47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Ochieng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On 10 January 2006 the two plaintiffs filed a plaint instituting the suit herein.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Simultaneously with the plaint, the plaintiffs filed a Chamber Summons through which they sought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injunctive reliefs.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plaintiff’s case that no statutory power of sale can arise from the charge registered against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property because the said property was given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them as a wedding present. The second plaintiff, in particular, is said to have a sentimental attachment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property.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must say that when the advocate for the plaintiffs had made those initial statements, I wondered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myself if the court was in for a new and previously </w:t>
      </w:r>
      <w:proofErr w:type="spellStart"/>
      <w:r>
        <w:rPr>
          <w:rFonts w:ascii="Times New Roman" w:hAnsi="Times New Roman" w:cs="Times New Roman"/>
          <w:color w:val="000000"/>
        </w:rPr>
        <w:t>unchattered</w:t>
      </w:r>
      <w:proofErr w:type="spellEnd"/>
      <w:r>
        <w:rPr>
          <w:rFonts w:ascii="Times New Roman" w:hAnsi="Times New Roman" w:cs="Times New Roman"/>
          <w:color w:val="000000"/>
        </w:rPr>
        <w:t xml:space="preserve"> line of submissions. Indeed, I said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myself, at that point in time, that if a security could not be sold off by a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on the grounds that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was sentimentally attached to it, by virtue of the manner in which he had acquired ownership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thereto, then </w:t>
      </w:r>
      <w:proofErr w:type="spellStart"/>
      <w:r>
        <w:rPr>
          <w:rFonts w:ascii="Times New Roman" w:hAnsi="Times New Roman" w:cs="Times New Roman"/>
          <w:color w:val="000000"/>
        </w:rPr>
        <w:t>chargees</w:t>
      </w:r>
      <w:proofErr w:type="spellEnd"/>
      <w:r>
        <w:rPr>
          <w:rFonts w:ascii="Times New Roman" w:hAnsi="Times New Roman" w:cs="Times New Roman"/>
          <w:color w:val="000000"/>
        </w:rPr>
        <w:t xml:space="preserve"> would find it impossible to exercise their statutory powers of sale.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But, I should not have had reason to </w:t>
      </w:r>
      <w:proofErr w:type="spellStart"/>
      <w:r>
        <w:rPr>
          <w:rFonts w:ascii="Times New Roman" w:hAnsi="Times New Roman" w:cs="Times New Roman"/>
          <w:color w:val="000000"/>
        </w:rPr>
        <w:t>habour</w:t>
      </w:r>
      <w:proofErr w:type="spellEnd"/>
      <w:r>
        <w:rPr>
          <w:rFonts w:ascii="Times New Roman" w:hAnsi="Times New Roman" w:cs="Times New Roman"/>
          <w:color w:val="000000"/>
        </w:rPr>
        <w:t xml:space="preserve"> any of those thoughts. Soon enough, it became clear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 that this was a battle of titanic proportions.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No, it is not simply because the suit property had been given to the plaintiffs as a wedding </w:t>
      </w:r>
      <w:r w:rsidR="003B4784">
        <w:rPr>
          <w:rFonts w:ascii="Times New Roman" w:hAnsi="Times New Roman" w:cs="Times New Roman"/>
          <w:color w:val="000000"/>
        </w:rPr>
        <w:t xml:space="preserve">gift that </w:t>
      </w:r>
      <w:r>
        <w:rPr>
          <w:rFonts w:ascii="Times New Roman" w:hAnsi="Times New Roman" w:cs="Times New Roman"/>
          <w:color w:val="000000"/>
        </w:rPr>
        <w:t>they believed gave rise to the need for the property to be safeguarded by an injunction. The real reason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emerged to be the assertion that the second defendant was coerced to execute the charge document.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the second defendant’s case that her husband, who is the first defendant herein, caused her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execute the charge document so as to secure some debt which Hyundai Motors Limited owed to the first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understand the alleged coercion, it is necessary to place facts within perspective. Firstly, it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 fact that the first plaintiff, Mohamed </w:t>
      </w:r>
      <w:proofErr w:type="spellStart"/>
      <w:r>
        <w:rPr>
          <w:rFonts w:ascii="Times New Roman" w:hAnsi="Times New Roman" w:cs="Times New Roman"/>
          <w:color w:val="000000"/>
        </w:rPr>
        <w:t>Gulamhussein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Farzal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Karmali</w:t>
      </w:r>
      <w:proofErr w:type="spellEnd"/>
      <w:r>
        <w:rPr>
          <w:rFonts w:ascii="Times New Roman" w:hAnsi="Times New Roman" w:cs="Times New Roman"/>
          <w:color w:val="000000"/>
        </w:rPr>
        <w:t>, was a director of Hyundai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Motors Limited. In turn, that company was said to be indebted to the first defendant to the tune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80 million.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those circumstances, the first defendant is said to have exerted pressure on Hyundai Motors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to pay the debt. Being a director and a shareholder of 30% of the shares in Hyundai Motors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Limited, the first defendant was personally under pressure, from both his fellow directors as well as from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second plaintiff’s part, she says that her husband had informed her: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the said first defendant was now putting pressure on the board of directors to service the facility and he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been personally asked to charge/mortgage our residential house (Land Reference number 3734/1168) for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10 500 000 for the proceeds thereto to be credit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Hyundai Motors (K) Limited account.”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her case that she resisted the idea of offering the suit property as security. However: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“Due to the bank’s bigger bargaining power coerced the first plaintiff and myself to concede to charge our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house to them due to the representation that Hyundai Motors (K) Limited was heavily indebted and the bank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threatened to pursue the company itself by either winding it up, or appoint a receiver or in any other way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exercise its contractual rights to recover the said money.”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Those circumstances do explain, from the plaintiffs’ perspective, how they came to the stage of executing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legal charge in favour of the first defendant, to secure the indebtedness of Hyundai Motors (K) Limited.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it later transpired that Hyundai Motors (K) Limited (Hereinafter cited as Hyundai Motors) did not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owe money to the first defendant, say the plaintiffs. That could therefore only imply that the first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had exercised undue duress and coercion on the plaintiffs, so it was submitted.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Relying on the treatise “Chitty on Contracts”, the plaintiffs submitted that if the court found that there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duress that would imply that there was an absence of contract.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in this case wherein a fiduciary relationship was said to have been in existence, as between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plaintiffs themselves, and also as between the plaintiffs and the bank, the plaintiffs assert that they have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they had signed the charge document under duress. That fact would, in the plaintiff’s mind,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 the charge voidable, at their instance, as they were the victims of the first defendant’s duress.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point taken up by the plaintiffs was that no </w:t>
      </w:r>
      <w:r>
        <w:rPr>
          <w:rFonts w:ascii="Times New Roman" w:hAnsi="Times New Roman" w:cs="Times New Roman"/>
          <w:color w:val="000000"/>
        </w:rPr>
        <w:lastRenderedPageBreak/>
        <w:t>statutory powers of sale could arise herein, 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section 46 of the Registration of Titles Act (Chapter 281). That section is said to make it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mandatory for all charge documents to conform to the requirements of either form </w:t>
      </w:r>
      <w:proofErr w:type="gramStart"/>
      <w:r>
        <w:rPr>
          <w:rFonts w:ascii="Times New Roman" w:hAnsi="Times New Roman" w:cs="Times New Roman"/>
          <w:color w:val="000000"/>
        </w:rPr>
        <w:t>J(</w:t>
      </w:r>
      <w:proofErr w:type="gramEnd"/>
      <w:r>
        <w:rPr>
          <w:rFonts w:ascii="Times New Roman" w:hAnsi="Times New Roman" w:cs="Times New Roman"/>
          <w:color w:val="000000"/>
        </w:rPr>
        <w:t>1) or J(2).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charge here is said to provide for interest other than simple interest, as envisaged in forms </w:t>
      </w:r>
      <w:proofErr w:type="gramStart"/>
      <w:r>
        <w:rPr>
          <w:rFonts w:ascii="Times New Roman" w:hAnsi="Times New Roman" w:cs="Times New Roman"/>
          <w:color w:val="000000"/>
        </w:rPr>
        <w:t>J(</w:t>
      </w:r>
      <w:proofErr w:type="gramEnd"/>
      <w:r>
        <w:rPr>
          <w:rFonts w:ascii="Times New Roman" w:hAnsi="Times New Roman" w:cs="Times New Roman"/>
          <w:color w:val="000000"/>
        </w:rPr>
        <w:t>1)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J(2). Therefore, the plaintiff contends that the charge derogates from section 46, and thus ceases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 charge which can borrow from section 100 of the Registration of Titles Act. For that reason,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submits that the document described as a charge herein could not give to the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any power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sale.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charge is further faulted for not having an </w:t>
      </w:r>
      <w:proofErr w:type="spellStart"/>
      <w:r>
        <w:rPr>
          <w:rFonts w:ascii="Times New Roman" w:hAnsi="Times New Roman" w:cs="Times New Roman"/>
          <w:color w:val="000000"/>
        </w:rPr>
        <w:t>amortisation</w:t>
      </w:r>
      <w:proofErr w:type="spellEnd"/>
      <w:r>
        <w:rPr>
          <w:rFonts w:ascii="Times New Roman" w:hAnsi="Times New Roman" w:cs="Times New Roman"/>
          <w:color w:val="000000"/>
        </w:rPr>
        <w:t xml:space="preserve"> clause as required by statute. That is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the charge allows penalties, which therefore makes </w:t>
      </w:r>
      <w:proofErr w:type="spellStart"/>
      <w:r>
        <w:rPr>
          <w:rFonts w:ascii="Times New Roman" w:hAnsi="Times New Roman" w:cs="Times New Roman"/>
          <w:color w:val="000000"/>
        </w:rPr>
        <w:t>amortisation</w:t>
      </w:r>
      <w:proofErr w:type="spellEnd"/>
      <w:r>
        <w:rPr>
          <w:rFonts w:ascii="Times New Roman" w:hAnsi="Times New Roman" w:cs="Times New Roman"/>
          <w:color w:val="000000"/>
        </w:rPr>
        <w:t xml:space="preserve"> impossible as the repayment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was effectively varied through the provisions which allowed for variation of interest rates.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issue which was canvassed by the plaintiff was in relation to the provisions of section 39(1)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Central Bank of Kenya Act 4 of 2001. That section pegs interest chargeable by mortgagees to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91–day Treasury </w:t>
      </w:r>
      <w:proofErr w:type="gramStart"/>
      <w:r>
        <w:rPr>
          <w:rFonts w:ascii="Times New Roman" w:hAnsi="Times New Roman" w:cs="Times New Roman"/>
          <w:color w:val="000000"/>
        </w:rPr>
        <w:t>Bill</w:t>
      </w:r>
      <w:proofErr w:type="gramEnd"/>
      <w:r>
        <w:rPr>
          <w:rFonts w:ascii="Times New Roman" w:hAnsi="Times New Roman" w:cs="Times New Roman"/>
          <w:color w:val="000000"/>
        </w:rPr>
        <w:t xml:space="preserve"> rates.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Act 4 of 2001 came into force on 1 January 2001, whilst the loan herein was given out on 8 April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2002, the plaintiffs submit that the maximum sum which the defendant could recover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million, which sum is equivalent to double the loan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10 500 000. In the circumstances,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plaintiffs believe that any demand for sums in excess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million was unlawful, by virtue of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maximum recovery allowed by statute.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issue raised by the plaintiff was to the effect that the defendant had so mixed up the loan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of the plaintiffs with the account of Hyundai Motors Kenya Limited, that the sum which was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loaned to the plaintiffs was incapable of identification.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Thereafter, on 10 August 2004, the defendant is said to have written-off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96 065 606.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the plaintiffs say that they have no obligation to pay the sums which were lumped together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those of Hyundai Motors.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any event, the defendant was charging penalties which were in excess of two years old, and that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contrary to section 4 of the Limitation of Actions Act, said the plaintiffs. That was yet one more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why the plaintiffs feel that they should not be compelled to pay the sums claimed by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all those reasons, the plaintiffs submitted that they were entitled to an order pursuant to section 52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Indian Transfer of Property Act, prohibiting any registration of change of ownership of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from the plaintiffs.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therefore asked to grant the prayers sought in the application.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responding to the application, the defendant first submitted that the tests which the plaintiffs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obliged to meet if they were to get any of the injunctive reliefs sought were those set out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3B478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Company Limited </w:t>
      </w:r>
      <w:r>
        <w:rPr>
          <w:rFonts w:ascii="Times New Roman" w:hAnsi="Times New Roman" w:cs="Times New Roman"/>
          <w:color w:val="000000"/>
        </w:rPr>
        <w:t>[1973] EA 358. Of course, that celebrated decision remains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beacon for determination of applications for interlocutory injunctive reliefs. In other words, the applicant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first prove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success. Secondly, an interlocutory injunction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not normally be granted unless the applicant might otherwise suffer irreparable injury which could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adequately compensated in damages; and thirdly, if the court is in doubt, it will decide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on a balance of convenience.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Bearing those principles in mind, the defendant submitted that the plaintiffs’ assertions on the alleged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invalidity of the charge instrument was no more than an expression of the plaintiffs’ confusion. The said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confusion is attributed to the “fact” that the plaintiffs had mixed up the provisions governing charges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those governing mortgages.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 to be sure that the distinction between the two is clear, it is to be noted that section 58(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Property Act defines a mortgage, as follows: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mortgage is the transfer of an interest in specific immovable property for the purpose of securing the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of money advanced or to be advanced by way of loan, an existing or future debt, or the performance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 engagement which may give rise to a pecuniary liability.”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significant feature of a mortgage is thus the transfer of an interest in specific immovable property. In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contrast, section 100 of Transfer of Property Act defines a charge, as follows: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immovable property of one person is by act of the parties or operation of law made security for the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of money to another, and the transaction does not amount to a mortgage, the latter person is said to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a charge on the property; and all the provisions hereinbefore contained as to a mortgagor shall, so far as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be, apply to the owner of such property, and the provisions of sections 81 and 82 and all the provisions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hereinbefore contained as to a mortgagee instituting a suit for the sale of the mortgaged property shall so far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may be, apply to the person having such charge.”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suit property is registered under the Registration of Titles Act. Under that statute the only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of security is a charge. There is absolutely no mention of mortgages in the Registration of Titles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Act. Therefore, I believe that a mortgage could not be created under that statute. It thus follows that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security herein, is, as it describes itself on the face of the document, a </w:t>
      </w:r>
      <w:r>
        <w:rPr>
          <w:rFonts w:ascii="Times New Roman" w:hAnsi="Times New Roman" w:cs="Times New Roman"/>
          <w:color w:val="000000"/>
        </w:rPr>
        <w:lastRenderedPageBreak/>
        <w:t>charge.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pursuant to the provisions of section 46(1) of the Registration of Titles Act,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charge ought to be executed in form J(1) or J(2) in the first schedule. However, section 46 does not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stipulate the manner in which the charge document is to be attested.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one must then fall back on the provisions of section 69(4) of the Transfer of Property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to ascertain how the charge document is to be attested. The said section makes it clear that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powers of sale would only accrue: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mortgagor’s signature to the mortgage instrument has been witnessed by an advocate and if the said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instrument bears a certificate signed by that advocate to the effect that he has explained to the mortgagor the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 of subsection (1) of this section and he was satisfied that the mortgagor understood the same.”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Whereas that section makes reference to mortgage instruments and mortgagor’s statutory power of sale,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must not lose sight of section 100A which expressly equates the rights, powers and remedies of 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to those of a mortgagee.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then, the plaintiffs have noted that whereas the charge instrument is said to be a charge,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contents thereof make reference to “mortgagors” throughout.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Whilst that is the position, the plaintiffs did not suggest that by making references to “mortgagors”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within the body of the charge </w:t>
      </w:r>
      <w:proofErr w:type="gramStart"/>
      <w:r>
        <w:rPr>
          <w:rFonts w:ascii="Times New Roman" w:hAnsi="Times New Roman" w:cs="Times New Roman"/>
          <w:color w:val="000000"/>
        </w:rPr>
        <w:t>instrument, that</w:t>
      </w:r>
      <w:proofErr w:type="gramEnd"/>
      <w:r>
        <w:rPr>
          <w:rFonts w:ascii="Times New Roman" w:hAnsi="Times New Roman" w:cs="Times New Roman"/>
          <w:color w:val="000000"/>
        </w:rPr>
        <w:t xml:space="preserve"> alone would render the security void or voidable.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course, such reference reflects confusion on the part of the defendant, who had expressed a keen sense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distinction between a charge and a mortgage. Speaking for myself, I do not think that by making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“mortgagor” instead of “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>” would, by itself invalidate the charge instrument.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that still begs the question whether or not the charge document was void for allegedly failing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comply with the provisions of section 46(1) of the Registration of Titles Act, insofar as that section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requires that a charge be either in form J(1) or form J(2). In that regard, the plaintiff cited 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 w:rsidR="003B478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Commercial Finance Company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Ngeny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[2002] 1 KLR 106, as authority to support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contention. At 126 of the law report,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JA expressed himself thus: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mandatory that the charge shall be executed in form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 or J(2) in the First Schedule which in turn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requires the rate of interest to be specifically stated. The charge in the instant case omits to state the rate of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rendering the charge defective.”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Firstly, the defendant pointed out that the decision of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JA was a dissenting judgement. That is an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undisputed fact. But, the plaintiffs say that on that point of law, the other two judges did not express 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different opinion, and that therefore the holding by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JA was good law in that regard.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carefully perused the other two judgements, I accept the plaintiff’s observation, to the effect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did not specifically address the provisions of section 46(1) of the Registration of Titles Act. For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reason, the pronouncement by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JA cannot be disregarded simply because his was a dissenting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judgement. But I still ask myself if that necessarily implies that it is good law.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 purported to provide an answer to that question by citing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</w:t>
      </w:r>
      <w:r w:rsidR="003B478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Ronak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 xml:space="preserve">[2001] EA 54. In that case it had been argued by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charge was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unenforceable on the grounds that no interest rate was stipulated in the charge document; that variation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rates was unenforceable; and that the said rates were onerous and oppressive. The Court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unanimously upset the injunction which the Superior Court had granted, as it found nothing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 with the variation of interest rates, or with the fact that no exact rate or rates had been specified.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arriving at its decision, the Superior Court had said: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“Upon perusal of the charge documents which form part of the exhibits that were attached to the replying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affidavit, it is evident that although the bank reserved the right to vary the rate of interest, there was, however,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rate specified therein as either the base lending rate, minimum rate, or the commencing rate of interest for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facility. Had the rate been specified, then, I would have had no difficulty in finding in favour of the bank.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the matter now stands, the agreement which forms the basis for the contractual relationship between the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hereto is silent on that particular issue, in which event the rate cannot be inferred by the court.”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my understanding of the foregoing, the Superior Court had not directly addressed the issue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46(1) of the Registration of Titles Act.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Indeed, neither the Superior Court nor the Court of Appeal mentioned either that statutory provision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even forms </w:t>
      </w:r>
      <w:proofErr w:type="gramStart"/>
      <w:r>
        <w:rPr>
          <w:rFonts w:ascii="Times New Roman" w:hAnsi="Times New Roman" w:cs="Times New Roman"/>
          <w:color w:val="000000"/>
        </w:rPr>
        <w:t>J(</w:t>
      </w:r>
      <w:proofErr w:type="gramEnd"/>
      <w:r>
        <w:rPr>
          <w:rFonts w:ascii="Times New Roman" w:hAnsi="Times New Roman" w:cs="Times New Roman"/>
          <w:color w:val="000000"/>
        </w:rPr>
        <w:t>1) and J(2), in their respective judgements. Therefore, even though the bottom-line of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by the Court of Appeal appears to support the defendant’s position in this case, it is not explicit.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my part, I hold the considered view that provided parties to an instrument of charge have a clear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on the interest which is to be charged on the facility, it would not matter if the rate is variable.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is what I understand their Lordships to have determined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Ronak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</w:t>
      </w:r>
      <w:r w:rsidR="003B478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By implication, it would mean that a charge instrument which provided for variable interest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void or voidable simply because it did not specify one rate of interest, or a specified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instalment amount. If one were to hold that instruments of charge </w:t>
      </w:r>
      <w:r>
        <w:rPr>
          <w:rFonts w:ascii="Times New Roman" w:hAnsi="Times New Roman" w:cs="Times New Roman"/>
          <w:color w:val="000000"/>
        </w:rPr>
        <w:lastRenderedPageBreak/>
        <w:t>would only be valid if they specified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rate of interest, as well as a specified instalment amount, he would have become so unrealistic as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limiting parties’ freedom of negotiation.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Form J(2) does readily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fact that parties can agree on such matters as: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times appointed for the payment of the sum; annuity; rent charge intended to be secured;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interest if</w:t>
      </w:r>
      <w:r w:rsidR="003B478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; and the events on which such sum, annuity or rent charge shall become and cease to be payable;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also any</w:t>
      </w:r>
      <w:r w:rsidR="003B478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special agreement or powers</w:t>
      </w:r>
      <w:r>
        <w:rPr>
          <w:rFonts w:ascii="Times New Roman" w:hAnsi="Times New Roman" w:cs="Times New Roman"/>
          <w:color w:val="000000"/>
          <w:sz w:val="20"/>
          <w:szCs w:val="20"/>
        </w:rPr>
        <w:t>.” [Emphasis mine.]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I hold that the charge instrument herein is not void, as alleged by the plaintiffs. In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my considered opinion, when parties to a charge instrument agree that the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may vary the rate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interest, and the said agreement is incorporated into the instrument, that does not amount to a deviation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forms provided in the schedule to the Registration of Titles Act. As I have already said, form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J(</w:t>
      </w:r>
      <w:proofErr w:type="gramEnd"/>
      <w:r>
        <w:rPr>
          <w:rFonts w:ascii="Times New Roman" w:hAnsi="Times New Roman" w:cs="Times New Roman"/>
          <w:color w:val="000000"/>
        </w:rPr>
        <w:t xml:space="preserve">2) actually allows the parties to agree on interest, if any. In other words, a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is not compelled, by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statute, to charge a fixed interest on the facility it may accord to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. If the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should agree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that interest would be payable, the parties need only incorporate such an agreement into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instrument of charge.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issue which the defendants delved into was in relation to what is perceived by them as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constituting material non-disclosure, on the plaintiffs’ part. The submissions in that regard are said to be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founded upon matters which the plaintiff had asserted, but which the defendants later disproved.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are as follows: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Attestation of the instrument of charge.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Service of a statutory notice.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c</w:t>
      </w:r>
      <w:proofErr w:type="gramEnd"/>
      <w:r>
        <w:rPr>
          <w:rFonts w:ascii="Times New Roman" w:hAnsi="Times New Roman" w:cs="Times New Roman"/>
          <w:color w:val="000000"/>
        </w:rPr>
        <w:t>) Section 3(3) of the Law of Contract Act.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Attestation of Charge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plaintiffs had asserted that the instrument was attested by an advocate who did not hold a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at the material time.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defendants adduced proof to counter the assertion that </w:t>
      </w:r>
      <w:proofErr w:type="spellStart"/>
      <w:r>
        <w:rPr>
          <w:rFonts w:ascii="Times New Roman" w:hAnsi="Times New Roman" w:cs="Times New Roman"/>
          <w:color w:val="000000"/>
        </w:rPr>
        <w:t>Naheed-Kadernani</w:t>
      </w:r>
      <w:proofErr w:type="spellEnd"/>
      <w:r>
        <w:rPr>
          <w:rFonts w:ascii="Times New Roman" w:hAnsi="Times New Roman" w:cs="Times New Roman"/>
          <w:color w:val="000000"/>
        </w:rPr>
        <w:t xml:space="preserve"> did not hold 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valid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at the time in question, the plaintiffs conceded the point.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Notice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plaintiffs had stated, under oath that the first defendant had not served a statutory notice.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response, the first defendant made available proof of service, whereupon the plaintiff conceded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of Contract Act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plaintiffs asserted that the charge infringed the provisions of section 3(3) of the Law of Contract Act.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 provides as follows: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suit shall be brought upon a contract for the disposition of an interest in land unless: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contract upon which the suit is founded: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is in writing;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is signed by all the parties thereto; and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the signature of each party signing has been attested by a witness who is present when the contract was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signed by such party.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this subsection shall not apply to a contract made in the course of a public auction by an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auctioneer within the meaning of the Auctioneer’s Act, nor shall anything in it affect, the creation of a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resulting, implied or constructive trust.”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reading of the application and the affidavit in support thereto, I did not get to fully appreciate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shortcoming complained of by the plaintiffs.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But, in any event, the plaintiffs did concede that the issue was not worth pursuing.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significant issue in that regard was the timing of the concessions on the three points.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concessions were not made at the outset, when the plaintiffs commenced prosecuting the application.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Also, the concessions were not made during the submissions by the plaintiffs, advocates. Instead,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concessions were made when the advocate for the defendants was about to delve into each one of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points above.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 timing of the concessions, the defendant submitted that the plaintiffs ought to be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deemed as being guilty of material non-disclosure. The court was invited to hold that for that reason,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plaintiffs were undeserving of the equitable remedy of an injunction.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given due consideration to the competing submissions made by the parties herein, I am unable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share the defendant’s viewpoint. I say so, not because I do not appreciate the defendants’ feeling, that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plaintiffs were trying everything possible to get an injunction. True, I agree that if any party has made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assertion which has then been controverted by the other party, it is a sign of good practice to make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concessions at the earliest opportunity.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Indeed, before any party makes assertions such as may suggest that an advocate did not have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requisite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certificate, it is vital that the party cross-checks his facts with the relevant authority,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as the Law Society of Kenya. Indeed, prudence may dictate that the advocate be asked to confirm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information, so as to avoid the possibility of soiling the reputation of persons who were compliant.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hand, I appreciate that in litigation, there will be moments where parties may not have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time and opportunity to cross-check facts. In such instances, it is best that the allegations are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made at all.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an assertion that no statutory notice had been served, I am unable to understand how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can justify the same. A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who says that no such notice had been served, whilst he had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actually been served, is walking a very thin line between oversight and non-disclosure.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But, as regards the citation of statutory provisions, I hold the view that it does not amount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non-disclosure if the party is shown to have been wrong.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conclusion, the main reason why the three points herein were not held as amounting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non-disclosure is the fact that the plaintiffs did not purport to canvass any of them, when prosecuting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herein.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aware that by that time, the assertions may well have influenced the court, at the stage when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first came up before the court, but in this case, the plaintiffs did not strive to steal a march 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defendants, by seeking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orders in the first instance. Had the plaintiffs sought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first place, they may well have been held to have been guilty of material non-disclosure. In that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event, the court may have had to determine whether or not it would have been sufficient to discharge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as may have been obtained, or whether the case was one which called for the more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serious step of refusing to give a further hearing to the merits of the plaintiff’s application.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point was in relation to The Banking (Amendment) Bill 2004. That Bill was published in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issue of the Kenya Gazette Supplement dated 10 June 2004. The Bill seeks to amend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Banking Act, by introducing section 44A, so as to limit the total interest an institution can recover on 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non-performing loan. The intention is to limit the interest to the amount of the outstanding principal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amount, at the time the loan became non-performing. And, for loans which became non-performing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proposed amendment came into operation, the additional interest is not supposed to exceed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total principal and interest owing at the time the section comes into operation.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not satisfied that the Bill has yet been passed by parliament. Therefore, I am unable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it. Indeed, when the plaintiffs were faced with the question as to when the said Bill became law, I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understood them to be unsure, and therefore they only </w:t>
      </w:r>
      <w:proofErr w:type="spellStart"/>
      <w:r>
        <w:rPr>
          <w:rFonts w:ascii="Times New Roman" w:hAnsi="Times New Roman" w:cs="Times New Roman"/>
          <w:color w:val="000000"/>
        </w:rPr>
        <w:t>reemphasised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the provisions of section 39 of Act 4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2001.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doubt that the said Act, which is otherwise known as the Central Bank of Kenya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(Amendment) Act of 2000, came into force on 1 January 2001.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39(1) of the Act stipulates as follows: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maximum rate of interest which specified financial institutions may charge on loans or advances shall be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91 – day Treasury Bill rate published by the Bank on the last Friday of each month, or the latest published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91 – day Treasury Bill rate, plus four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per centum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the maximum interest chargeable under this subsection shall not exceed the principal sum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loaned or advanced and provided further that this subsection shall only apply to contracts for loans or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advances made or renewed after the commencement of this section.”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loan or advances in issue were said to have been given on 8 April 2002. Therefore the said facility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subject to the provisions of section 39(1) of the Central Bank of Kenya Act.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the facility was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10 500 000 the plaintiffs submitted that the first defendant was not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entitled to demand anything more than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million.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Yet, by a letter dated 24 October 2005, the first defendant demanded payment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21 289 324</w:t>
      </w:r>
      <w:proofErr w:type="gramStart"/>
      <w:r>
        <w:rPr>
          <w:rFonts w:ascii="Times New Roman" w:hAnsi="Times New Roman" w:cs="Times New Roman"/>
          <w:color w:val="000000"/>
        </w:rPr>
        <w:t>,85</w:t>
      </w:r>
      <w:proofErr w:type="gramEnd"/>
      <w:r>
        <w:rPr>
          <w:rFonts w:ascii="Times New Roman" w:hAnsi="Times New Roman" w:cs="Times New Roman"/>
          <w:color w:val="000000"/>
        </w:rPr>
        <w:t>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that demand raises a very serious issue, as the sum sought was in excess of double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which was secured by the charge executed by the plaintiffs. That would imply that the interest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was probably in excess of the principal loan amount.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until and unless the first defendant was able to demonstrate that the interest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did not exceed the principal amount loaned or advanced, I find that the plaintiffs have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established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issue which has caused me considerable concern relates to the alleged duress and coercion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said to have been exerted on the plaintiffs. The coercion is said to have taken the form of 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threat to wind-up Hyundai Motors Kenya Limited.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if a creditor should issue a lawful demand, which is intended to lead to the recovery of 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debt through a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court process, the creditor cannot be accused of duress or coercion. Thus, a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creditor would be perfectly entitled to give notice of intention to commence winding-up proceedings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a company which was indebted to him. The creditor would, similarly, be entitled to give notice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intention to commence bankruptcy proceedings against an individual who owed him money. Such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demands should not be construed as duress or coercion.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But, the plaintiffs are saying that the demands themselves were without foundation, as the creditor,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Hyundai Motors Kenya Limited did not owe the money which the first defendant was seeking to recover.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 for the plaintiffs’ belief that Hyundai Motors did not owe the money, was the fact that on 10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August 2004, the first defendant wrote-off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96 065 606, as a bad debt.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understanding a “Bad debt write-off” does not connote the absence of a legitimate claim against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debtor whose debt is being written-off. A creditor would write-off a bad debt as a process of updating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records, once he came to the conclusion that the prospects of recovering the debt were literally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non-existent. Therefore, I am unable to accept the plaintiffs’ contention, to the effect that simply because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decided to write-off the debits in the account of Hyundai Motors as a bad debt,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</w:t>
      </w:r>
      <w:r>
        <w:rPr>
          <w:rFonts w:ascii="Times New Roman" w:hAnsi="Times New Roman" w:cs="Times New Roman"/>
          <w:color w:val="000000"/>
        </w:rPr>
        <w:lastRenderedPageBreak/>
        <w:t>company had not been indebted to them.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that still begs the question as to whether or not there had been duress or coercion.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 plaintiff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that she had resisted the attempts by the first plaintiff to offer the suit property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security for the facility accorded to Hyundai Motors. Notably, the second plaintiff has not alluded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duress or coercion flowing directly from the first defendant, directed at her personally.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giving due consideration to this aspect of the application, I first remind myself of the following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words of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Housing Finance Company of Kenya Limited </w:t>
      </w:r>
      <w:r>
        <w:rPr>
          <w:rFonts w:ascii="Times New Roman" w:hAnsi="Times New Roman" w:cs="Times New Roman"/>
          <w:color w:val="000000"/>
        </w:rPr>
        <w:t>[2001] 2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540 at 546: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answering that question the court is to remember that it is not required - indeed it is forbidden – to make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definitive findings of fact or law at the interlocutory stage particularly where the affidavits are contradictory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legal propositions are hotly contested as is the case here.”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felt the need to so remind myself, because there can be no doubt about how hotly contested this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has been.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Ottoman Bank v KS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[1965] EA 464 at 465, Rudd J held as follows: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“He was told by the plaintiff’s assistant manager that he should sign but I do not find any undue influence on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part of the plaintiff bank. The question is whether his father exercised undue influence on the third party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to sign and if so, whether the court should absolve the third defendant from liability on that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Thereafter, the court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evidence on record and came to the conclusion as follows, at 466: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the whole I consider that there is just enough here to sustain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undue influence and not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enough to rebut the presumption that arises from the third defendant’s known filial relationship to his father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his subservience to him in affairs of the business which ought to have been sufficiently noticeable, to put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plaintiffs on their guard. No steps at all appear to have been taken to see that the third defendant acted as a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free agent with knowledge of the full probable effects on him of his guarantee.”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Whilst the first defendant herein has said that it did take steps to ensure that the second plaintiff obtained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independent legal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advise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, the said plaintiff still insists that she only executed the charge document due to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duress and coercion exerted on her, by the husband. In effect, the issue is one which I feel cannot be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resolved on the basis of the conflicting affidavit evidence, so far available.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authors of “Chitty on Contracts” (28ed) Volume 1, stated, at 448 (paragraphs 7-070) that: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creditor is aware that the debtor and surety are husband and wife, and the transaction is on its face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to the financial advantage of the surety as well as the debtor, the creditor will be fixed with constructive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 of undue influence, misrepresentation or other legal wrong by the debtor unless it has taken reasonable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steps to satisfy itself that the surety has entered into the obligation freely and with knowledge of the true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facts.”</w:t>
      </w:r>
      <w:r w:rsidR="003B47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I find that this is a ground upon which the plaintiffs have satisfied me that they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success, because the suit property is registered in their joint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names. In other words, if the trial court were to hold that the second plaintiff was the victim of duress or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coercion, the validity of the charge instrument would be voided.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also find that if the suit property was to be sold off before the suit was heard and determined, the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plaintiffs would suffer irreparable loss which may not be </w:t>
      </w:r>
      <w:proofErr w:type="spellStart"/>
      <w:r>
        <w:rPr>
          <w:rFonts w:ascii="Times New Roman" w:hAnsi="Times New Roman" w:cs="Times New Roman"/>
          <w:color w:val="000000"/>
        </w:rPr>
        <w:t>compensatable</w:t>
      </w:r>
      <w:proofErr w:type="spellEnd"/>
      <w:r>
        <w:rPr>
          <w:rFonts w:ascii="Times New Roman" w:hAnsi="Times New Roman" w:cs="Times New Roman"/>
          <w:color w:val="000000"/>
        </w:rPr>
        <w:t xml:space="preserve"> in damages. But, as I stated at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outset, that alone would not be a reason enough to warrant an injunction. However, the combination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facts herein, including the possibility that the demand for the recovery of a debt which was in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 of the maximum recoverable pursuant to section 39(1) of the Central Bank of Kenya Act; the fact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probably some duress exerted on the second plaintiff; coupled with the fact that the facility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secured by the suit property did not directly benefit the second plaintiff, causes me to find that the loss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property in the circumstances would be incapable of compensation.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there shall now issue an injunction to restrain the defendants, their agents, servants,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or any of them from advertising, disposing off, selling by public auction or by private treaty,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leasing, or in any other manner howsoever interfering with the plaintiffs’ occupation and ownership of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</w:t>
      </w:r>
      <w:r w:rsidR="003B478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Reference number 3734/1168 (Land Reference number 78994) until this suit is heard and determined.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costs of the application dated 10 January 2006 are awarded to the plaintiffs.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Infomation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not available</w:t>
      </w:r>
    </w:p>
    <w:p w:rsidR="00E35C28" w:rsidRDefault="00E35C28" w:rsidP="00E3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E35C28" w:rsidP="00E35C28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28"/>
    <w:rsid w:val="003B4784"/>
    <w:rsid w:val="00AB7022"/>
    <w:rsid w:val="00E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75A00-B27B-4074-A788-B092C81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4743</Words>
  <Characters>27038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2018-07-05T06:19:00Z</dcterms:created>
  <dcterms:modified xsi:type="dcterms:W3CDTF">2018-07-12T19:38:00Z</dcterms:modified>
</cp:coreProperties>
</file>