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Karmali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Shah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May 2000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178/97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Documentary evidence – Documents produced by Plaintiff and not challenged by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Defendant – Weight to be placed on such documents – Whether such documents can form basis for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judgment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Plaintiff’s favour.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21 June 1994 the Appellant’s vehicle was involved in an accident with a vehicle belonging to the</w:t>
      </w:r>
    </w:p>
    <w:p w:rsidR="006C0F57" w:rsidRDefault="001760A6" w:rsidP="006C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Respondent. The Appellant then filed suit against the Respondent on the basis of negligence on the part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Respondent’s driver claiming damages for,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loss of user for the three weeks it took to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repair the vehicle. The parties subsequently agreed that the Respondent be liable for the cost of the police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abstract and investigator’s fees as well as 80% of the proved damages. At the trial, the only witness to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testify was the Appellant’s general administrator who gave evidence to establish the average monthly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income earned by the vehicle and produced various documents to back its claim in respect of loss of user.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was then adjourned by consent to 21 April 1997 for assessment of damages. On that date, the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applied for an adjournment of the hearing but the application was denied. Counsel for the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then made his submissions to which no submissions in reply were recorded. On 15 May 1997,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dismissed the Appellant’s claim for special damages for loss of user on the ground that the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failed on a balance of probability to prove his claim for loss of use and income. On appeal.</w:t>
      </w:r>
      <w:r w:rsidR="006C0F57">
        <w:rPr>
          <w:rFonts w:ascii="Times New Roman" w:hAnsi="Times New Roman" w:cs="Times New Roman"/>
          <w:color w:val="000000"/>
        </w:rPr>
        <w:t xml:space="preserve"> </w:t>
      </w:r>
    </w:p>
    <w:p w:rsidR="006C0F57" w:rsidRDefault="006C0F57" w:rsidP="006C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760A6" w:rsidRDefault="001760A6" w:rsidP="006C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documents produced by the Appellant were not challenged and provided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 w:rsidR="006C0F5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the special damages suffered. The fact that the documents were produced by the Appellant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mean that they were unreliable. Additionally, the circumstances of the case as a whole including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Respondent’s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in not really caring what happened in the case showed that the trial Judge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erred in rejecting the </w:t>
      </w:r>
      <w:proofErr w:type="spellStart"/>
      <w:r>
        <w:rPr>
          <w:rFonts w:ascii="Times New Roman" w:hAnsi="Times New Roman" w:cs="Times New Roman"/>
          <w:color w:val="000000"/>
        </w:rPr>
        <w:t>unassailed</w:t>
      </w:r>
      <w:proofErr w:type="spellEnd"/>
      <w:r>
        <w:rPr>
          <w:rFonts w:ascii="Times New Roman" w:hAnsi="Times New Roman" w:cs="Times New Roman"/>
          <w:color w:val="000000"/>
        </w:rPr>
        <w:t xml:space="preserve"> documentary evidence of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Appellant. Accordingly, the appeal would be allowed and the Respondent ordered to pay the proved</w:t>
      </w:r>
      <w:r w:rsidR="006C0F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damages less the 20% agreed contributory negligence.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760A6" w:rsidRDefault="001760A6" w:rsidP="00176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F18BF" w:rsidRDefault="001760A6" w:rsidP="001760A6"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Shah </w:t>
      </w:r>
      <w:r>
        <w:rPr>
          <w:rFonts w:ascii="Times New Roman" w:hAnsi="Times New Roman" w:cs="Times New Roman"/>
          <w:color w:val="000000"/>
        </w:rPr>
        <w:t>[1968] EA 93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A6"/>
    <w:rsid w:val="001760A6"/>
    <w:rsid w:val="003F18BF"/>
    <w:rsid w:val="006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65BCC-10D0-4130-9224-9A7D9DBC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2018-07-05T10:24:00Z</dcterms:created>
  <dcterms:modified xsi:type="dcterms:W3CDTF">2018-07-12T19:39:00Z</dcterms:modified>
</cp:coreProperties>
</file>