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Karua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Radio Africa Limited t/a Kiss FM Station and others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July 2006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3/06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Nyamu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JJ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E </w:t>
      </w:r>
      <w:proofErr w:type="spellStart"/>
      <w:r>
        <w:rPr>
          <w:rFonts w:ascii="Times New Roman" w:hAnsi="Times New Roman" w:cs="Times New Roman"/>
          <w:color w:val="000000"/>
        </w:rPr>
        <w:t>Ongoya</w:t>
      </w:r>
      <w:proofErr w:type="spellEnd"/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Constitutional law </w:t>
      </w:r>
      <w:r>
        <w:rPr>
          <w:rFonts w:ascii="Times New Roman" w:hAnsi="Times New Roman" w:cs="Times New Roman"/>
          <w:color w:val="000000"/>
        </w:rPr>
        <w:t xml:space="preserve">– </w:t>
      </w:r>
      <w:r>
        <w:rPr>
          <w:rFonts w:ascii="Times New Roman" w:hAnsi="Times New Roman" w:cs="Times New Roman"/>
          <w:i/>
          <w:iCs/>
          <w:color w:val="000000"/>
        </w:rPr>
        <w:t>Fundamental rights and freedoms – Freedom of Expression – Defamation law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defamation law a violation of the freedom of expression.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F42A7" w:rsidRDefault="00390456" w:rsidP="001F42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plaintiff filed a defamation suit against Radio Africa Limited t/a Kiss FM station and others. The suit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commenced by way of plaint filed on 25 March 2004. By Chamber Summons of the same date the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sought and obtained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order temporarily restraining the defendants and/or their agents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airing, broadcasting, or presenting or referring to her in any manner whatsoever adverse to her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reputation and standing or which ridicules and portrays her negatively in the eyes of the general public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pending the hearing and determination of the suit. On the same day, an interim order was granted. The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was granted until 8 April 2004 when the application was to come up for hearing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color w:val="000000"/>
        </w:rPr>
        <w:t>. On 8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April 2004, the court was informed that the defendants had a Preliminary Objection to raise. The judge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adjourned the Chamber Summons for </w:t>
      </w:r>
      <w:r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hearing on 21 April 2004. On 21 April 2004, the </w:t>
      </w:r>
      <w:r>
        <w:rPr>
          <w:rFonts w:ascii="Times New Roman" w:hAnsi="Times New Roman" w:cs="Times New Roman"/>
          <w:i/>
          <w:iCs/>
          <w:color w:val="000000"/>
        </w:rPr>
        <w:t>inter</w:t>
      </w:r>
      <w:r w:rsidR="001F42A7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did not take place because the defendant had filed a Chamber Summons Application a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before the scheduled hearing date reiterating the objections raised earlier. The court stood over the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 to 3 May 2004 as the date for the hearing of the Preliminary Objection. On 3 May 2004, the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had filed a further application to amend the plaint. The court heard counsel for both parties and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that the application to further amend the plaint would be heard in priority and before the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Preliminary Objection and the application to strike out the plaint. The court further directed that once the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had argued the application the application for amendment the defendant would be free to elect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either to argue its Preliminary Objection or take any other action that they may deem necessary and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expedient. On 23 September 2004, the defendants filed a Notice of Motion seeking orders that the refusal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by the </w:t>
      </w:r>
      <w:proofErr w:type="spellStart"/>
      <w:r>
        <w:rPr>
          <w:rFonts w:ascii="Times New Roman" w:hAnsi="Times New Roman" w:cs="Times New Roman"/>
          <w:color w:val="000000"/>
        </w:rPr>
        <w:t>Honourable</w:t>
      </w:r>
      <w:proofErr w:type="spellEnd"/>
      <w:r>
        <w:rPr>
          <w:rFonts w:ascii="Times New Roman" w:hAnsi="Times New Roman" w:cs="Times New Roman"/>
          <w:color w:val="000000"/>
        </w:rPr>
        <w:t xml:space="preserve"> Court to hear the Preliminary Objection raised by the defendants contravened section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70(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and section 77(9) of the Constitution thus denying the defendants the secure protection of the law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 fair hearing.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defendants also sought a declaration that the allegations made in the plaint and the prayers sought in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 contravened and were likely to contravene section 79(1) of the Constitution.</w:t>
      </w:r>
      <w:r w:rsidR="001F42A7">
        <w:rPr>
          <w:rFonts w:ascii="Times New Roman" w:hAnsi="Times New Roman" w:cs="Times New Roman"/>
          <w:color w:val="000000"/>
        </w:rPr>
        <w:t xml:space="preserve"> </w:t>
      </w:r>
    </w:p>
    <w:p w:rsidR="001F42A7" w:rsidRDefault="001F42A7" w:rsidP="001F42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F42A7" w:rsidRDefault="00390456" w:rsidP="001F42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High Court had jurisdiction to determine a constitutional question challenging an order of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another judge of the High Court.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Labhsons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Haulers Limited t/a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Tausi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Travellers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High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civil case 204 of 2003 followed.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fundamental rights and freedoms in Kenya, although dearly cherished are not absolute. They are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subject to the rights and freedoms of others. The freedoms and rights of others are equally protected by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Constitution and guaranteed to every person. In addition, the rights and freedoms are subject to the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public interest </w:t>
      </w:r>
      <w:r>
        <w:rPr>
          <w:rFonts w:ascii="Times New Roman" w:hAnsi="Times New Roman" w:cs="Times New Roman"/>
          <w:i/>
          <w:iCs/>
          <w:color w:val="000000"/>
        </w:rPr>
        <w:t xml:space="preserve">Kenya Bus Service Limited and others v Attorney General and others </w:t>
      </w:r>
      <w:r>
        <w:rPr>
          <w:rFonts w:ascii="Times New Roman" w:hAnsi="Times New Roman" w:cs="Times New Roman"/>
          <w:color w:val="000000"/>
        </w:rPr>
        <w:t>[2005] LLR 5939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(HCK) followed.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reason why the fundamental rights and freedoms are subject to the rights of others and the public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interest as per the Constitution of Kenya is that they create a mutuality in terms of their enjoyment and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responsibility. They are subject to the public interest because it is absolutely necessary to achieve the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common good for all.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holding that it had to hear the application for amendment prior to entertaining a Preliminary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Objection the trial court correctly exercised its discretion in allowing the amendments so that the real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questions in controversy as between the parties can be determined.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court seized of a question of violation of fundamental rights and freedoms has to deal with the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question in two stages, first, is to determine whether the right or freedom in question has been infringed.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If there is no infringement or contravention the court needs not go into the second stage. The second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stage is to consider the conceptual structure of the limitation to the rights and freedoms.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determining the reasonableness of a limitation to fundamental rights and freedoms, the interest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underlying the limitation </w:t>
      </w:r>
      <w:r>
        <w:rPr>
          <w:rFonts w:ascii="Times New Roman" w:hAnsi="Times New Roman" w:cs="Times New Roman"/>
          <w:color w:val="000000"/>
        </w:rPr>
        <w:lastRenderedPageBreak/>
        <w:t>must be of sufficient importance to outweigh the constitutionally protected right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means must be proportional to the object of the limitation. Since what is at stake is a limitation of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fundamental </w:t>
      </w:r>
      <w:r w:rsidR="001F42A7">
        <w:rPr>
          <w:rFonts w:ascii="Times New Roman" w:hAnsi="Times New Roman" w:cs="Times New Roman"/>
          <w:color w:val="000000"/>
        </w:rPr>
        <w:t>rights that</w:t>
      </w:r>
      <w:r>
        <w:rPr>
          <w:rFonts w:ascii="Times New Roman" w:hAnsi="Times New Roman" w:cs="Times New Roman"/>
          <w:color w:val="000000"/>
        </w:rPr>
        <w:t xml:space="preserve"> must mean the legislative of the limitation law must be motivated by substantial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opposed to trivial concerns and directed towards goals in harmony with the values underlying a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democratic society.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proportionality test to limitations on fundamental rights and freedoms required that any</w:t>
      </w:r>
      <w:r w:rsidR="001F42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limitation:</w:t>
      </w:r>
      <w:r w:rsidR="001F42A7">
        <w:rPr>
          <w:rFonts w:ascii="Times New Roman" w:hAnsi="Times New Roman" w:cs="Times New Roman"/>
          <w:color w:val="000000"/>
        </w:rPr>
        <w:t xml:space="preserve"> </w:t>
      </w:r>
    </w:p>
    <w:p w:rsidR="00390456" w:rsidRDefault="00390456" w:rsidP="001F42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Must be rationally connected to its objective;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Should impair the right or freedom as little as possible, and there is proportionality between its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effects</w:t>
      </w:r>
      <w:proofErr w:type="gramEnd"/>
      <w:r>
        <w:rPr>
          <w:rFonts w:ascii="Times New Roman" w:hAnsi="Times New Roman" w:cs="Times New Roman"/>
          <w:color w:val="000000"/>
        </w:rPr>
        <w:t xml:space="preserve"> and its objectives.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Kenya Bus Service Limited and others v Attorney General and others </w:t>
      </w:r>
      <w:r>
        <w:rPr>
          <w:rFonts w:ascii="Times New Roman" w:hAnsi="Times New Roman" w:cs="Times New Roman"/>
          <w:color w:val="000000"/>
        </w:rPr>
        <w:t xml:space="preserve">[2005] LLR 5939 (HCK)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KJ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Kinyanjui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 General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Labhsons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Manula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Haulers Limited T/A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Tausi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Travellers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High Court civil case 204 of 2003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Maharaj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 General of Trinidad and Tobago </w:t>
      </w:r>
      <w:r>
        <w:rPr>
          <w:rFonts w:ascii="Times New Roman" w:hAnsi="Times New Roman" w:cs="Times New Roman"/>
          <w:color w:val="000000"/>
        </w:rPr>
        <w:t>(number 2) 1982 All 670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Peter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Muiruri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Credit Bank Limited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Others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In Reference </w:t>
      </w:r>
      <w:r>
        <w:rPr>
          <w:rFonts w:ascii="Times New Roman" w:hAnsi="Times New Roman" w:cs="Times New Roman"/>
          <w:color w:val="000000"/>
        </w:rPr>
        <w:t xml:space="preserve">Re </w:t>
      </w:r>
      <w:r>
        <w:rPr>
          <w:rFonts w:ascii="Times New Roman" w:hAnsi="Times New Roman" w:cs="Times New Roman"/>
          <w:i/>
          <w:iCs/>
          <w:color w:val="000000"/>
        </w:rPr>
        <w:t xml:space="preserve">Public Service Employee Relations Act,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Labour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Relations Act and Police Officers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Collective Bargaining Act </w:t>
      </w:r>
      <w:r>
        <w:rPr>
          <w:rFonts w:ascii="Times New Roman" w:hAnsi="Times New Roman" w:cs="Times New Roman"/>
          <w:color w:val="000000"/>
        </w:rPr>
        <w:t>[1987] 38 DLR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Compulsory Membership in an Association Prescribed By Law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For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The Practice of Journalism (Article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13 ad 29 American Convention on Human Rights), Advisory Opinion OC5/85 </w:t>
      </w:r>
      <w:r>
        <w:rPr>
          <w:rFonts w:ascii="Times New Roman" w:hAnsi="Times New Roman" w:cs="Times New Roman"/>
          <w:color w:val="000000"/>
        </w:rPr>
        <w:t>of 13 November1985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Handyside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United Kingdom </w:t>
      </w:r>
      <w:r>
        <w:rPr>
          <w:rFonts w:ascii="Times New Roman" w:hAnsi="Times New Roman" w:cs="Times New Roman"/>
          <w:color w:val="000000"/>
        </w:rPr>
        <w:t>1 EHRR 737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Lingens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Austria European Court Human Rights case of </w:t>
      </w:r>
      <w:r>
        <w:rPr>
          <w:rFonts w:ascii="Times New Roman" w:hAnsi="Times New Roman" w:cs="Times New Roman"/>
          <w:color w:val="000000"/>
        </w:rPr>
        <w:t>judgment of 8 July 1986</w:t>
      </w:r>
    </w:p>
    <w:p w:rsidR="00390456" w:rsidRDefault="00390456" w:rsidP="003904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v Oakes </w:t>
      </w:r>
      <w:r>
        <w:rPr>
          <w:rFonts w:ascii="Times New Roman" w:hAnsi="Times New Roman" w:cs="Times New Roman"/>
          <w:color w:val="000000"/>
        </w:rPr>
        <w:t>[1986] 26 DLR</w:t>
      </w:r>
    </w:p>
    <w:p w:rsidR="00AB7022" w:rsidRDefault="00390456" w:rsidP="00390456">
      <w:r>
        <w:rPr>
          <w:rFonts w:ascii="Times New Roman" w:hAnsi="Times New Roman" w:cs="Times New Roman"/>
          <w:i/>
          <w:iCs/>
          <w:color w:val="000000"/>
        </w:rPr>
        <w:t xml:space="preserve">S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Makwanyane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</w:t>
      </w:r>
      <w:r>
        <w:rPr>
          <w:rFonts w:ascii="Times New Roman" w:hAnsi="Times New Roman" w:cs="Times New Roman"/>
          <w:color w:val="000000"/>
        </w:rPr>
        <w:t>1995 (6) BCLR 665 (CC)</w:t>
      </w:r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56"/>
    <w:rsid w:val="001F42A7"/>
    <w:rsid w:val="00390456"/>
    <w:rsid w:val="00A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E44C3-FB35-45EB-803B-A06D35E7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2018-07-05T06:20:00Z</dcterms:created>
  <dcterms:modified xsi:type="dcterms:W3CDTF">2018-07-12T19:40:00Z</dcterms:modified>
</cp:coreProperties>
</file>