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Karua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Radio Africa Limited t/a Kiss FM Station and others</w:t>
      </w:r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July 2006</w:t>
      </w:r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3/06</w:t>
      </w:r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Constitutional law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i/>
          <w:iCs/>
          <w:color w:val="000000"/>
        </w:rPr>
        <w:t>Fundamental rights and freedoms – Freedom of Expression – Defamation law</w:t>
      </w:r>
    </w:p>
    <w:p w:rsidR="00F85D7B" w:rsidRDefault="00F85D7B" w:rsidP="00F85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defamation law a violation of the freedom of expression.</w:t>
      </w:r>
    </w:p>
    <w:p w:rsidR="00F85D7B" w:rsidRDefault="00E9111F" w:rsidP="00E911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AB7022" w:rsidRDefault="00F85D7B" w:rsidP="00E9111F">
      <w:pPr>
        <w:jc w:val="both"/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Nyamu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Emukule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JJ: </w:t>
      </w:r>
      <w:r>
        <w:rPr>
          <w:rFonts w:ascii="Times New Roman" w:hAnsi="Times New Roman" w:cs="Times New Roman"/>
          <w:color w:val="000000"/>
        </w:rPr>
        <w:t xml:space="preserve">The plaintiff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Martha </w:t>
      </w:r>
      <w:proofErr w:type="spellStart"/>
      <w:r>
        <w:rPr>
          <w:rFonts w:ascii="Times New Roman" w:hAnsi="Times New Roman" w:cs="Times New Roman"/>
          <w:color w:val="000000"/>
        </w:rPr>
        <w:t>Wangari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Karua</w:t>
      </w:r>
      <w:proofErr w:type="spellEnd"/>
      <w:r>
        <w:rPr>
          <w:rFonts w:ascii="Times New Roman" w:hAnsi="Times New Roman" w:cs="Times New Roman"/>
          <w:color w:val="000000"/>
        </w:rPr>
        <w:t xml:space="preserve"> is an Advocate, a Member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Parliament and a Cabinet Minister. She filed a defamation suit against African Broadcasting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t/a Kiss FM Station (but following an amendment the first defendant name was changed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Radio Africa) and two others. The suit was commenced by way of a plaint filed on 25 March 2004. She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 defendant’s presentation contains words that were false, malicious, disparaging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professionally, politically and socially and that the presentation in a radio morning talk-show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constitutes a gross violation of the plaintiff’s rights of privacy and also violates the law of decency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presentation has caused the plaintiff serious distress, agony and embarrassment. She has as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sought general damages including exemplary damages for the alleged dissemination at the radio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presentation and in a sensational manner. She claims that the words are slanderous and reckless. She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seeks a permanent injunction restraining the defendants jointly and severally by either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themselves, their servants and or agents from repeating, carrying out or </w:t>
      </w:r>
      <w:proofErr w:type="spellStart"/>
      <w:r>
        <w:rPr>
          <w:rFonts w:ascii="Times New Roman" w:hAnsi="Times New Roman" w:cs="Times New Roman"/>
          <w:color w:val="000000"/>
        </w:rPr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to be carried out any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presentation adverse or negatively portraying the person and character of the plaintiff.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By a Chamber Summons of the same date the </w:t>
      </w:r>
      <w:proofErr w:type="spellStart"/>
      <w:r>
        <w:rPr>
          <w:rFonts w:ascii="Times New Roman" w:hAnsi="Times New Roman" w:cs="Times New Roman"/>
          <w:color w:val="000000"/>
        </w:rPr>
        <w:t>plainiff</w:t>
      </w:r>
      <w:proofErr w:type="spellEnd"/>
      <w:r>
        <w:rPr>
          <w:rFonts w:ascii="Times New Roman" w:hAnsi="Times New Roman" w:cs="Times New Roman"/>
          <w:color w:val="000000"/>
        </w:rPr>
        <w:t xml:space="preserve"> sought and obtained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temporarily restraining the defendants and/or their agents from airing, broadcasting or presenting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referring to the applicant in any manner whatsoever adverse to her reputation and standing 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ridicules and portrays her negatively in the eyes of the general public pending the hearing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determination, of the suit. On the same day an interim order was granted by his Lordship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>. The order was granted until 8 April 2004 when the application was to come up for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The application was set down for hearing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8 April 2004 and the matter was listed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Kihara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Kariuki</w:t>
      </w:r>
      <w:proofErr w:type="spellEnd"/>
      <w:r>
        <w:rPr>
          <w:rFonts w:ascii="Times New Roman" w:hAnsi="Times New Roman" w:cs="Times New Roman"/>
          <w:color w:val="000000"/>
        </w:rPr>
        <w:t>. The Judge was informed that the defendants had a preliminary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objection to raise. The Preliminary objection was filed on 5 April 2004 raising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grounds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to (</w:t>
      </w:r>
      <w:r>
        <w:rPr>
          <w:rFonts w:ascii="Times New Roman" w:hAnsi="Times New Roman" w:cs="Times New Roman"/>
          <w:i/>
          <w:iCs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) which grounds include: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 plaint does not set out verbatim the precise words complained of, that were allegedly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spoken by the second and third defendants and disseminated by each and all the defendants;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plaintiff has not alleged or stated that the words or the effect of the words complained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were defamatory of her;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The granting of an interim injunction offends section 79(1) of the Constitution of Kenya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human rights laws which include freedom of expression and freedom to hold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 without interference.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The plaint was amended once without leave on 31 March 2004 as per the requirements of the Civil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The plaintiff filed a Request for Particulars on 15 April 2004 and a Reply to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(5) By an application filed on 28 April 2004 the </w:t>
      </w:r>
      <w:proofErr w:type="spellStart"/>
      <w:r>
        <w:rPr>
          <w:rFonts w:ascii="Times New Roman" w:hAnsi="Times New Roman" w:cs="Times New Roman"/>
          <w:color w:val="000000"/>
        </w:rPr>
        <w:t>plainiff</w:t>
      </w:r>
      <w:proofErr w:type="spellEnd"/>
      <w:r>
        <w:rPr>
          <w:rFonts w:ascii="Times New Roman" w:hAnsi="Times New Roman" w:cs="Times New Roman"/>
          <w:color w:val="000000"/>
        </w:rPr>
        <w:t xml:space="preserve"> sought to further amend the plaint on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that at the time of filing suit the plaintiff did not have the recorded cast/text which gave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rise to the suit but the plaintiff was then in possession of the cast hence the need for the further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to the amended plaint.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(6) On 8 April 2004 </w:t>
      </w:r>
      <w:proofErr w:type="spellStart"/>
      <w:r>
        <w:rPr>
          <w:rFonts w:ascii="Times New Roman" w:hAnsi="Times New Roman" w:cs="Times New Roman"/>
          <w:color w:val="000000"/>
        </w:rPr>
        <w:t>Kihara</w:t>
      </w:r>
      <w:proofErr w:type="spellEnd"/>
      <w:r>
        <w:rPr>
          <w:rFonts w:ascii="Times New Roman" w:hAnsi="Times New Roman" w:cs="Times New Roman"/>
          <w:color w:val="000000"/>
        </w:rPr>
        <w:t xml:space="preserve"> J adjourned the Chamber Summons for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on 21 April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and extended the interim injunction until then.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(7) On 21 April 2004 the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did not take place because the defendants had earlier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an application by way of a Chamber Summons dated 19 April 2004 and filed on 20 April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 only a day before the hearing. The Chamber Summons reiterated the objections raised earlier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it was </w:t>
      </w:r>
      <w:proofErr w:type="spellStart"/>
      <w:r>
        <w:rPr>
          <w:rFonts w:ascii="Times New Roman" w:hAnsi="Times New Roman" w:cs="Times New Roman"/>
          <w:color w:val="000000"/>
        </w:rPr>
        <w:t>pleaded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plaint did not disclose a reasonable cause of action. The court ordered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Preliminary objection by the defendant be disposed of first and it stood over the matter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 May 2004 as </w:t>
      </w:r>
      <w:r>
        <w:rPr>
          <w:rFonts w:ascii="Times New Roman" w:hAnsi="Times New Roman" w:cs="Times New Roman"/>
          <w:color w:val="000000"/>
        </w:rPr>
        <w:lastRenderedPageBreak/>
        <w:t>the date for the hearing of the preliminary objection (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>) the “</w:t>
      </w:r>
      <w:proofErr w:type="spellStart"/>
      <w:r>
        <w:rPr>
          <w:rFonts w:ascii="Times New Roman" w:hAnsi="Times New Roman" w:cs="Times New Roman"/>
          <w:color w:val="000000"/>
        </w:rPr>
        <w:t>p.o.</w:t>
      </w:r>
      <w:proofErr w:type="spellEnd"/>
      <w:r>
        <w:rPr>
          <w:rFonts w:ascii="Times New Roman" w:hAnsi="Times New Roman" w:cs="Times New Roman"/>
          <w:color w:val="000000"/>
        </w:rPr>
        <w:t>” dated 5 April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2004.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(8) On 3 May 2005 the matter was listed before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J. At this point in time the plaintiff had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already filed an application dated 23 April 2004 to further amend the plaint. The court heard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from counsel for both parties on the order of hearing of the pending applications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the Preliminary Objection. At this time the defendants had also filed an application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strike out the plaint. The court gave a ruling on merit that the application to further amend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would be heard in priority and before the Preliminary Objection and the application to strike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the plaint. The court further directed that once the plaintiff had argued the application for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the defendant would be free to elect either to argue its Preliminary objection or take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action that they may deem necessary and expedient.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Perhaps it is useful to set out what our learned Brother,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Ojwang</w:t>
      </w:r>
      <w:proofErr w:type="spellEnd"/>
      <w:r>
        <w:rPr>
          <w:rFonts w:ascii="Times New Roman" w:hAnsi="Times New Roman" w:cs="Times New Roman"/>
          <w:color w:val="000000"/>
        </w:rPr>
        <w:t xml:space="preserve"> said on 3 May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2006: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direction I would give at the moment is that the preliminary objection be deferred because it could be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addressing pleadings that have changed in character. I will give priority to the hearing of the application to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further amend the plaint. Once this is heard and if it is ruled that the plaint be further amended then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 have another look at it and to determine what preliminary objections may be taken.”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seems clear to the court that the Preliminary objection was sufficiently addressed by the court. The court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this case means our two learned Brother Judges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Ojwang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Justice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Lenaola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 initiative to take up the issue of any objections was left to the defendants after the amendments.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perusal of the court record reinforces the above due to the following: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On 1 July 2004 Amended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Further Amended Plaint was filed by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On 6 July 2004 an Amended Reply to Amended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filed;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On 20 July 2004 an application for leave to deliver interrogatories was filed by the defendant;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On 7 July 2004 the plaintiff filed a list of issues;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On 21 July 2004 the defendant filed a list of issues;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(6) On 17 September 2004 the application for leave to administer interrogatories was dismissed by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>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(7) On 22 September 2004 the defendants filed an application for leave to lodge an appeal in the Court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against the ruling of 17 September 2004;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19 May 2004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J observed: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“This case needs to be put on track. Parties should now proceed to the substance of it and put the acrimonious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exchanges behind them.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Ojwang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 J said earlier in the proceedings ‘parties should halt the barrage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applications as they are unnecessarily time consuming and will considerably delay the hearing of the case’. I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respectfully adopt my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brothers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directions and ask that the parties should move on to the expeditious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determination of the suit without further delay. . 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deliberately given priority to setting out in </w:t>
      </w:r>
      <w:proofErr w:type="spellStart"/>
      <w:r>
        <w:rPr>
          <w:rFonts w:ascii="Times New Roman" w:hAnsi="Times New Roman" w:cs="Times New Roman"/>
          <w:color w:val="000000"/>
        </w:rPr>
        <w:t>extenso</w:t>
      </w:r>
      <w:proofErr w:type="spellEnd"/>
      <w:r>
        <w:rPr>
          <w:rFonts w:ascii="Times New Roman" w:hAnsi="Times New Roman" w:cs="Times New Roman"/>
          <w:color w:val="000000"/>
        </w:rPr>
        <w:t xml:space="preserve"> the factual background as above, and as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reflected in the court record, so that the context in which the four declarations are sought in the notice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 filed on 23 September 2004 may be properly understood. The declarations sought are as under: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A declaration that the refusal by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to hear the preliminary objections raised by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contravened section 70(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section 77(9) of the Constitution, thus denying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the right to secure protection of the law and a fair hearing;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A declaration that the refusal by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to hear the preliminary objection raised by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and therefore by default making a determination on the objection violated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principles of natural justice and more particularly the doctrine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audi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alteram partem </w:t>
      </w:r>
      <w:r>
        <w:rPr>
          <w:rFonts w:ascii="Times New Roman" w:hAnsi="Times New Roman" w:cs="Times New Roman"/>
          <w:color w:val="000000"/>
        </w:rPr>
        <w:t>and hence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extent applicable contravened sections 70(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77(9) of the Constitution;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A declaration that the allegations made in the plaint and the prayers sought in the plaint herein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contravened and are likely to contravene section 79(1) of the Constitution;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(4) A declaration that the allegations made and the prayers contained in the plaint have contravened,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are contravening and/or are likely to contravene the International Bill of Human Rights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article 7 and 19 of the Universal Declaration of Human Rights and articles 14, 19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 of the International Covenant on Civil and Political Rights (ICCPR).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(5) The filing of the suit herein is for an improper and ulterior motive extraneous to the law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defamation as the true intention of the plaintiff is to seek punishment of the defendants by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(6) The duplication of the orders sought in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and the action sought by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from the Minister for Information and Tourism, is in the circumstances vexatious,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oppressive and an abuse of the process of court.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have filed written skeleton arguments with lists of authorities and the court has taken this into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in preparing this ruling.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we have fully considered the authorities </w:t>
      </w:r>
      <w:r>
        <w:rPr>
          <w:rFonts w:ascii="Times New Roman" w:hAnsi="Times New Roman" w:cs="Times New Roman"/>
          <w:color w:val="000000"/>
        </w:rPr>
        <w:lastRenderedPageBreak/>
        <w:t>cited, it is our view that for the reason which will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become apparent in this ruling, we have deliberately avoided reviewing the authorities in detail because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of the view that making some of the determinations sought would be prejudicial to the future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of this matter. We are also alive to the fact that ours is a limited jurisdiction.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shall therefore confine our attention to the constitutional principles raised especially on the nature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rights and freedoms and any applicable limitations as set out in the Constitution and the relevant laws.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shall steer clear of any factual findings. The reason for being guarded and economical in what we say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the suit is ongoing and all issues and the law are at large for determination by the court dealing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suit on merit.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above factual background we consider it important to ascertain, if in the first place, this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has jurisdiction to adjudicate on the issues raised in view of the fact that the application before us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a Notice of Motion filed in current proceedings, which </w:t>
      </w:r>
      <w:proofErr w:type="gramStart"/>
      <w:r>
        <w:rPr>
          <w:rFonts w:ascii="Times New Roman" w:hAnsi="Times New Roman" w:cs="Times New Roman"/>
          <w:color w:val="000000"/>
        </w:rPr>
        <w:t>is a suit still</w:t>
      </w:r>
      <w:proofErr w:type="gramEnd"/>
      <w:r>
        <w:rPr>
          <w:rFonts w:ascii="Times New Roman" w:hAnsi="Times New Roman" w:cs="Times New Roman"/>
          <w:color w:val="000000"/>
        </w:rPr>
        <w:t xml:space="preserve"> pending. The Notice was filed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challenge our brother </w:t>
      </w:r>
      <w:proofErr w:type="gramStart"/>
      <w:r>
        <w:rPr>
          <w:rFonts w:ascii="Times New Roman" w:hAnsi="Times New Roman" w:cs="Times New Roman"/>
          <w:color w:val="000000"/>
        </w:rPr>
        <w:t>judges</w:t>
      </w:r>
      <w:proofErr w:type="gramEnd"/>
      <w:r>
        <w:rPr>
          <w:rFonts w:ascii="Times New Roman" w:hAnsi="Times New Roman" w:cs="Times New Roman"/>
          <w:color w:val="000000"/>
        </w:rPr>
        <w:t xml:space="preserve"> orders in the pending suit in so far as they relate to the alleged failure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 the preliminary objections described above and the challenge is also directed at instituting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defamation suit itself. The judges are therefore of equal rank to us hence the need for exercising great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caution and extending due deference, in approaching this matter; by first ascertaining whether we have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and the extent of that jurisdiction. The Notice of Motion is based on rule 10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rules made by the Chief Justice pursuant to section 84(6) of the Constitution.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purports to invoke section 84(1) and (2) of the Constitution. On the issue of jurisdiction we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 that we do have original jurisdiction to hear the matter in terms of section 84(1) and (2)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 Rule 10 of the Constitution of Kenya (Protection of Fundamental Rights and Freedoms)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and Procedure Rules 2001 (now revoked) provides: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 violation of fundamental rights and freedoms is alleged in any proceedings in the High Court,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for determination of the question shall be made by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 of Motion in the matter and in that case the provisions of Order L of the Civil Procedure Rules shall,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far as practicable apply.”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Labhsons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Haulers Limited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Travellers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case 204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2003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observed: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“Whereas I am acutely aware that I am of equal rank with the judge who made the challenged order and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seat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on appeal over his order I see a new line here this being a constitutional application. Firstly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84 gives the High Court original jurisdiction; secondly section 84 is not subject to any other exception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save the rules made under section 84(6). Thirdly the section provides for two rights namely a direct right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 to the High Court under section 84(1) and a referral right under section 84(3) from the subordinate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courts and an application under the section is a constitutional right in terms of the section and anything that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purports to hinder the hearing of any such application would in my opinion clearly violate the section and has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and must give way.”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same case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at 16–17 did address the principle behind this special jurisdiction as far as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challenge is in relation to the court or judges as under: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“What happens when Judges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orders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challenged. My reference to this has no bearing or relevance to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facts of the matter before me now and I pass no judgment at all on my brother’s challenged order. But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What</w:t>
      </w:r>
      <w:r w:rsidR="00E911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Next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 The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Law </w:t>
      </w:r>
      <w:r>
        <w:rPr>
          <w:rFonts w:ascii="Times New Roman" w:hAnsi="Times New Roman" w:cs="Times New Roman"/>
          <w:color w:val="000000"/>
          <w:sz w:val="20"/>
          <w:szCs w:val="20"/>
        </w:rPr>
        <w:t>Lord Denning at 330 on the chapter with the heading of The Judges Themselves has this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very interesting observation: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“There remains the most touching question of all. May not the judges themselves sometimes abuse or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misuse their power. It is their duty to administer and apply the law of the land. If they should divert or depart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from it and do so knowingly it is a misuse of power. So we come up against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Juvenal’s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sed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quis</w:t>
      </w:r>
      <w:proofErr w:type="spellEnd"/>
      <w:r w:rsidR="00E9111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custodiet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ipsos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custodes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(But who is to guard the guards themselves).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answer to Lord Denning’s question in the context of our situation as to who is the guard of the guards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themselves is in my opinion the Constitution itself and the law.”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subsequent case of </w:t>
      </w:r>
      <w:r>
        <w:rPr>
          <w:rFonts w:ascii="Times New Roman" w:hAnsi="Times New Roman" w:cs="Times New Roman"/>
          <w:i/>
          <w:iCs/>
          <w:color w:val="000000"/>
        </w:rPr>
        <w:t xml:space="preserve">KJ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Kinyanjui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 General </w:t>
      </w:r>
      <w:r>
        <w:rPr>
          <w:rFonts w:ascii="Times New Roman" w:hAnsi="Times New Roman" w:cs="Times New Roman"/>
          <w:color w:val="000000"/>
        </w:rPr>
        <w:t xml:space="preserve">a Constitutional Court consisting of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 focused on the extent of the jurisdiction and went on to dismiss the challenge relating to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Judge criminal appeal. The court fully endorsed the principle as set out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Maharaj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E911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 General of Trinidad and Tobago </w:t>
      </w:r>
      <w:r>
        <w:rPr>
          <w:rFonts w:ascii="Times New Roman" w:hAnsi="Times New Roman" w:cs="Times New Roman"/>
          <w:color w:val="000000"/>
        </w:rPr>
        <w:t>(number 2) 1982 All 670 where this special jurisdiction was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described as: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The claim for redress in the motion fell within the original jurisdiction of the High Court under section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6(2) of the Constitution (similar to our section 84(2). Since it involved an enquiry into whether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adopted by the Judge before committing the appellant to prison had contravened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appellants’ rights under section 1(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Constitution not to be deprived of liberty . . .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Accordingly Scott J, though of equal rank to the Judge who made the committal orders had jurisdiction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entertain the motion.”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 in the recent case, </w:t>
      </w:r>
      <w:r>
        <w:rPr>
          <w:rFonts w:ascii="Times New Roman" w:hAnsi="Times New Roman" w:cs="Times New Roman"/>
          <w:i/>
          <w:iCs/>
          <w:color w:val="000000"/>
        </w:rPr>
        <w:t xml:space="preserve">Peter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Credit Bank Limited </w:t>
      </w:r>
      <w:r>
        <w:rPr>
          <w:rFonts w:ascii="Times New Roman" w:hAnsi="Times New Roman" w:cs="Times New Roman"/>
          <w:color w:val="000000"/>
        </w:rPr>
        <w:t>where the ruling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Chief Justice was challenged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addressed the issue at 48 as under: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would in my view be a grave matter for the courts or Judges to insulate themselves against constitutional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challenges since public law vindicates in a very special way the rule of law and provides an important pillar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safeguarding, securing and enforcing fundamental rights and freedoms, providing for a way of applicants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accessing the courts for this purpose can only enhance our system of justice and cannot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possibly demean it! The task cannot also possibly be transferred to any other body except the courts because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courts must remain solely responsible for the lawfulness of what they do.”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 in the same case at 13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J held: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jurisdiction I am now exercising in this matter or any other High Court Judge placed in a similar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situation, does not certainly extend to considering or reviewing the merits of the ruling of another judge. In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view where there is a final order or ruling the jurisdiction extends to whether in the process or procedure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adopted in obtaining the ruling there were any procedural improprieties which could have led to any violation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contravention of the fundamental rights and freedoms of the applicant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there a fair hearing as per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requirements or a breach of procedural and statutory requirements which are aimed at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safeguarding a fair trial. On the other hand where a court regardless of its status refuses to hear an applicant at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all or is in clear breach of an applicant’s right like sending him to prison for contempt contrary to the process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law the court’s jurisdiction is in my view much wider.”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the same case, the court in dismissing the challenge undertook the inquiry at 20 as under: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“With the above in view it is quite clear to the court that his Lordship the Chief Justice did give to both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parties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opportunity to argue the preliminary point. In other words he gave them the equality of hearing or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what is also referred to as according the parties the right of equality of arms or giving them an adversarial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hearing. It is significant to note that there is no challenge concerning the impropriety of the procedure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followed in hearing the preliminary objection before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Chief Justice.”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Waiver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their written skeleton arguments the respondents have strongly contended that there is waiver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objection. It is significant to observe that the defendants did take important steps in the proceedings.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They filed further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the further amended plaint and also they sought leave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administer interrogatories, sought leave to appeal, prepared a list of issues for determination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participated in taking a date for the hearing of the case on merit was set down for 27 September 2004.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Our view is that for the reasons explained above touching on the special jurisdiction and the need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 any prejudice it is for the Judge handling the matter to rule on the respondents’ contention 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waiver. According to Justice </w:t>
      </w:r>
      <w:proofErr w:type="spellStart"/>
      <w:r>
        <w:rPr>
          <w:rFonts w:ascii="Times New Roman" w:hAnsi="Times New Roman" w:cs="Times New Roman"/>
          <w:color w:val="000000"/>
        </w:rPr>
        <w:t>Ojwang’s</w:t>
      </w:r>
      <w:proofErr w:type="spellEnd"/>
      <w:r>
        <w:rPr>
          <w:rFonts w:ascii="Times New Roman" w:hAnsi="Times New Roman" w:cs="Times New Roman"/>
          <w:color w:val="000000"/>
        </w:rPr>
        <w:t xml:space="preserve"> ruling the objections could still be raised and the application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strike out the plaint as well, and a determination made if the applicant were to set them down for hearing.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therefore decline to adjudicate on the issue of waiver. However our finding concerning the objection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the conduct of the matter has not violated any constitutional right of the applicant. We find no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procedural impropriety. The principle of equality of arms was not violated.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and Freedoms, Constitutional Balance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claim that the institution of the suit by the plaintiff violates their fundamental rights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freedoms protected by section 70 and 79(1) of the Constitution and that the alleged failure by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to hear the preliminary objection violated their right of fair hearing as set out in section 77(9)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held in the cited case of </w:t>
      </w:r>
      <w:r>
        <w:rPr>
          <w:rFonts w:ascii="Times New Roman" w:hAnsi="Times New Roman" w:cs="Times New Roman"/>
          <w:i/>
          <w:iCs/>
          <w:color w:val="000000"/>
        </w:rPr>
        <w:t>Kenya Bus Service Limited and others v Attorney General and others</w:t>
      </w:r>
      <w:r w:rsidR="00E911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[2005] LLR 5939 (HCK) the fundamental rights and freedoms in Kenya although dearly cherished are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absolute. They are subject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rights and freedoms of others. The freedoms and rights of others are equally protected by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guaranteed to every person. In addition the rights and freedoms are subject to the public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interest. It is therefore quite evident from the relevant provisions that as far as the other persons are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concerned the fundamental rights and freedoms are on an equal footing and that there is no hierarchy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and that all must enjoy the same rights and freedoms. It is therefore a serious contradiction for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litigant to want to muzzle, stifle or extinguish other </w:t>
      </w:r>
      <w:proofErr w:type="gramStart"/>
      <w:r>
        <w:rPr>
          <w:rFonts w:ascii="Times New Roman" w:hAnsi="Times New Roman" w:cs="Times New Roman"/>
          <w:color w:val="000000"/>
        </w:rPr>
        <w:t>persons</w:t>
      </w:r>
      <w:proofErr w:type="gramEnd"/>
      <w:r>
        <w:rPr>
          <w:rFonts w:ascii="Times New Roman" w:hAnsi="Times New Roman" w:cs="Times New Roman"/>
          <w:color w:val="000000"/>
        </w:rPr>
        <w:t xml:space="preserve"> rights and freedoms in the name of enforcing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theirs. Nothing could be more unconstitutional. The reason why the fundamental rights and freedoms are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to the rights of others and the public interest as per the Constitution of Kenya is that they create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mutuality in terms of their enjoyment and responsibility. They are subjected to the public interest because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absolutely necessary to achieve the common good for all.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illustrate this point take the defendants asserted rights to a fair hearing under section 70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section 77(9) of the Constitution, the plaintiffs equally enjoy the same </w:t>
      </w:r>
      <w:r>
        <w:rPr>
          <w:rFonts w:ascii="Times New Roman" w:hAnsi="Times New Roman" w:cs="Times New Roman"/>
          <w:color w:val="000000"/>
        </w:rPr>
        <w:lastRenderedPageBreak/>
        <w:t>and a Constitutional Court cannot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deny the plaintiff the right to fair hearing in the defamation suit unless the suit is unconstitutional under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specific limitation in section 79(1).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77(9) reads: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court or other adjudicating authority prescribed by law for the determination of the existence of extent of a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civil right or obligation shall be established by law and shall be independent and impartial; and where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for such a determination are instituted by a person before such a court or other adjudicating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authority, the case shall be given a fair hearing within a reasonable time.”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that the court currently charged with the task of hearing the determination sought is the court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contemplated by the section.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why this Court cannot accept the invitation to halt the civil proceedings commenced by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allegedly because the right to a fair hearing has been denied to the defendants in the suit. Both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entitled to the protection to the same extent and the question of balancing their respective rights does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arise because they enjoy equal rights under the section. Similarly the right to protection of law under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70 has been accorded to every person. The Constitution gives equal protection in relation to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enjoyment of fundamental rights and freedoms. It is only where a right or freedom has permissible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limitations when the court is called upon to consider competing values and interests such as necessity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limitation, reasonableness, whether reasonably justifiable in a democratic society, proportionality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(whether the means justify the end).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Halting the proceedings would deny the equal protection and would therefore be unconstitutional.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 where there are limitations clearly set out in the Constitution or any written law made pursuant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a court of law cannot impose a limitation to the enjoyment of the right at all. Even when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a specific limitation to the enjoyment of a right or freedom such a limitation is designed to ensure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enjoyment of those rights and freedoms by an individual does not prejudice the rights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of others or the public interest. Thus, the limitations are aimed at ensuring that the rights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 are equally enjoyed and the enjoyment achieves common good and also exercised responsibly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as to achieve the equilibrium and an orderly society.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significant to note that unlike other fundamental rights and freedoms there is no limitation at all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enjoyment of section 77(9) of the Constitution.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has been strongly argued that the protection of freedom of expression as set out in section 79(1) is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crucial right in a democracy and that it does occupy a special position. Several authorities from various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jurisdictions have been cited in support of importance of the right. However it is clear from the reading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relevant provision that unlike section 77(9), section 79(1) has three limitations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).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for the limitations are: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limitation must be contained or done under the authority of any law and: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limitation must be reasonably required in the interests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public safety, public order,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morality or public health.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The limitation must be reasonably required for the purpose of protecting the reputations and rights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freedoms of other persons.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In the case of public officers the restriction must be reasonably justifiable in a democratic society.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not in dispute that Kenya has enacted a Defamation Act and that such a law is an illustration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contemplated in the creation of the limitation under section 79. What has been contested or is being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contested is the application of such a limitation to the freedom of the press or expression in a democratic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 such as Kenya. In other words is there a place for defamation suits by public officials in Kenya?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limitation to the right of expression based on the law of defamation reasonably required for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protecting reputations or rights and freedoms of other persons?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We, as a Constitutional Court must remain guarded concerning what we say or not say in this ruling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we are not the court </w:t>
      </w:r>
      <w:proofErr w:type="spellStart"/>
      <w:r>
        <w:rPr>
          <w:rFonts w:ascii="Times New Roman" w:hAnsi="Times New Roman" w:cs="Times New Roman"/>
          <w:color w:val="000000"/>
        </w:rPr>
        <w:t>seised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taking of evidence, evaluating it and giving a verdict. This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remain the responsibility of a civil court. We can only declare that under our Constitution the right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expression is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the Constitution also </w:t>
      </w:r>
      <w:proofErr w:type="spellStart"/>
      <w:r>
        <w:rPr>
          <w:rFonts w:ascii="Times New Roman" w:hAnsi="Times New Roman" w:cs="Times New Roman"/>
          <w:color w:val="000000"/>
        </w:rPr>
        <w:t>recognises</w:t>
      </w:r>
      <w:proofErr w:type="spellEnd"/>
      <w:r>
        <w:rPr>
          <w:rFonts w:ascii="Times New Roman" w:hAnsi="Times New Roman" w:cs="Times New Roman"/>
          <w:color w:val="000000"/>
        </w:rPr>
        <w:t xml:space="preserve"> the limitations described in section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79(1). The reason for us to say as little as possible is to prevent any prejudice to the trial and to desist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making any final determination on the limitation which shall ideally turn on the evidence to be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adduced since for example, the reasonableness of the limitation varies with the facts of each case and 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case to case basis.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guided ourselves as above concerning this special jurisdiction the only point we can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pronounce on is whether there was any procedural impropriety in the proceedings which in turn violated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rights and </w:t>
      </w:r>
      <w:r>
        <w:rPr>
          <w:rFonts w:ascii="Times New Roman" w:hAnsi="Times New Roman" w:cs="Times New Roman"/>
          <w:color w:val="000000"/>
        </w:rPr>
        <w:lastRenderedPageBreak/>
        <w:t>freedoms of the defendants. On this we find that the court in ruling that it had to hear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amendment before the preliminary objection did not violate any procedural rule.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 our view correctly exercised its discretion in allowing the amendments so that the real questions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controversy as between the parties can be determined. In exercising this discretion the court did give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advocate for other </w:t>
      </w:r>
      <w:proofErr w:type="gramStart"/>
      <w:r>
        <w:rPr>
          <w:rFonts w:ascii="Times New Roman" w:hAnsi="Times New Roman" w:cs="Times New Roman"/>
          <w:color w:val="000000"/>
        </w:rPr>
        <w:t>parties</w:t>
      </w:r>
      <w:proofErr w:type="gramEnd"/>
      <w:r>
        <w:rPr>
          <w:rFonts w:ascii="Times New Roman" w:hAnsi="Times New Roman" w:cs="Times New Roman"/>
          <w:color w:val="000000"/>
        </w:rPr>
        <w:t xml:space="preserve"> equality of hearing as per the court record. Amendments can be allowed at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stage of the proceedings under Order VIA and on such terms as may be just. This principle is clearly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 in the relevant procedural order. The court after according the parties a hearing through their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 counsel directed the defendants to consider their position after the amendments but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have never set down the preliminary objections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hearing as would be expected of an aggrieved party. Instead they ignored whatever is left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and went on to frame issues based on the amended pleadings and took steps to have the matter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 down for hearing and prepared for full hearing on merit as urged by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  <w:r>
        <w:rPr>
          <w:rFonts w:ascii="Times New Roman" w:hAnsi="Times New Roman" w:cs="Times New Roman"/>
          <w:color w:val="000000"/>
        </w:rPr>
        <w:t xml:space="preserve"> J.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therefore find that the defendants were accorded the right of hearing and since the hearing has not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concluded they are still in a position to articulate all their grievances at the hearing on merit and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 determination made by the court in the suit. As a result our findings are that our inquiry does not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reveal any contravention or violation of the </w:t>
      </w:r>
      <w:proofErr w:type="gramStart"/>
      <w:r>
        <w:rPr>
          <w:rFonts w:ascii="Times New Roman" w:hAnsi="Times New Roman" w:cs="Times New Roman"/>
          <w:color w:val="000000"/>
        </w:rPr>
        <w:t>defendants</w:t>
      </w:r>
      <w:proofErr w:type="gramEnd"/>
      <w:r>
        <w:rPr>
          <w:rFonts w:ascii="Times New Roman" w:hAnsi="Times New Roman" w:cs="Times New Roman"/>
          <w:color w:val="000000"/>
        </w:rPr>
        <w:t xml:space="preserve"> right and the declarations and orders must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fail. Moreover taking into account the provisions of section 6 of the Judicature Act and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principle enunciated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Maharaj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failure to join the Attorney General is a fatal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defect. In addition the fundamental rights and freedoms apply vertically not horizontally and are secured,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guaranteed and protected by the State and the plaintiff as a person in the suit is articulating her individual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to a fair hearing and cannot under the Constitution be liable to the defendants’ for any violations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issue of the extra judicial complaints by the plaintiff to the Minister and the Media Council 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Committee, a competent court has already ruled on the matter by a stay order and thereby halting any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extra judicial parallel proceedings and there is nothing we can usefully add to this.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Court’s Task: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Turning again to the issue of rights freedoms and limitations the court in conducting the inquiry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to do it in two stages. The first stage of inquiry is to determine whether the right or freedom in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has been infringed. The courts have to look first at the ambit of the fundamental right 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and then whether the law or act complained of has interfered with its exercise. The final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to define the scope of rights and freedom, is in the hands of the court or judges who have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last word in this respect so as to fix the boundary between legislation and judicial supremacy.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there is no infringement or contravention the court needs not go to the second stage.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The second stage is to consider the conceptual structure of the limitation to the rights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freedoms. In the case of the Constitution of Kenya, textually and structurally this springs from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70 itself which stipulates that the rights and freedoms contained in Chapter 5 are protected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guaranteed subject to the rights of others and the public interest. When considering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the court must carefully examine the limitation clauses attached to the different rights in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Chapter. With a few exceptions the limitations follow a basic formula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“Subject to such limitations as are prescribed by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law </w:t>
      </w:r>
      <w:r>
        <w:rPr>
          <w:rFonts w:ascii="Times New Roman" w:hAnsi="Times New Roman" w:cs="Times New Roman"/>
          <w:color w:val="000000"/>
          <w:sz w:val="20"/>
          <w:szCs w:val="20"/>
        </w:rPr>
        <w:t>and are shown to be reasonably justifiable in a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democratic society in the interest of public order, health, safety etc.”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role of the court in the first stage we would like to endorse fully the observations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 McIntyre in the Canadian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In Reference Re Public Service Employee Relations Act,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 w:rsidR="00E911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Relations Act and Police Officers Collective Bargaining Act </w:t>
      </w:r>
      <w:r>
        <w:rPr>
          <w:rFonts w:ascii="Times New Roman" w:hAnsi="Times New Roman" w:cs="Times New Roman"/>
          <w:color w:val="000000"/>
        </w:rPr>
        <w:t>[1987] 38 DLR 4 161 where the judge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warned: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“While a liberal and not an overly legalistic approach should be taken to constitutional interpretation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Charter should not be regarded as an empty vessel to be filled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whatever meaning we might wish from time to time. The interpretation of the charter, as of all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documents, is constrained by the language structure and history of the constitutional text, by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constitutional traditions and by the history, traditions and underlying philosophies of our society.”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Perhaps we should also add that the fundamental rights and freedoms have over the years acquired an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dimension which can no longer be ignored by the municipal courts. Courts should therefore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there is international public law dimension to the Chapter 5 rights and freedoms and also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interpretation should also be guided by the underlying purpose of the right or freedom.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Reasonableness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On the issue of reasonableness in relation to the limitation we fully approve and endorse the reasoning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Canadian case of </w:t>
      </w:r>
      <w:r>
        <w:rPr>
          <w:rFonts w:ascii="Times New Roman" w:hAnsi="Times New Roman" w:cs="Times New Roman"/>
          <w:i/>
          <w:iCs/>
          <w:color w:val="000000"/>
        </w:rPr>
        <w:t xml:space="preserve">R v Oakes </w:t>
      </w:r>
      <w:r>
        <w:rPr>
          <w:rFonts w:ascii="Times New Roman" w:hAnsi="Times New Roman" w:cs="Times New Roman"/>
          <w:color w:val="000000"/>
        </w:rPr>
        <w:t>[1986] 26 DLR 4 200. One of the principles in the case concerning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reasonableness of the limitation is that the interest underlying the limitation must be of sufficient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 to outweigh the constitutionally protected right and the means must be proportional to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 of the limitation. Our interpretation of the use of reasonableness in the limitation clause is that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since what is at stake is the limitation of fundamental </w:t>
      </w:r>
      <w:proofErr w:type="gramStart"/>
      <w:r>
        <w:rPr>
          <w:rFonts w:ascii="Times New Roman" w:hAnsi="Times New Roman" w:cs="Times New Roman"/>
          <w:color w:val="000000"/>
        </w:rPr>
        <w:t>rights, that</w:t>
      </w:r>
      <w:proofErr w:type="gramEnd"/>
      <w:r>
        <w:rPr>
          <w:rFonts w:ascii="Times New Roman" w:hAnsi="Times New Roman" w:cs="Times New Roman"/>
          <w:color w:val="000000"/>
        </w:rPr>
        <w:t xml:space="preserve"> must mean the legislative objective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limitation law must be motivated by substantial as opposed to trivial concerns and directed towards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goals in harmony with the values underlying a democratic society.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Proportionality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Proportionality</w:t>
      </w:r>
      <w:proofErr w:type="spellEnd"/>
      <w:r>
        <w:rPr>
          <w:rFonts w:ascii="Times New Roman" w:hAnsi="Times New Roman" w:cs="Times New Roman"/>
          <w:color w:val="000000"/>
        </w:rPr>
        <w:t xml:space="preserve"> test requires the following of any limitation: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That it be rationally connected to its objective;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That it impairs the right or freedom as little as possible;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That there is proportionality between its effects and its objectives – see </w:t>
      </w:r>
      <w:r>
        <w:rPr>
          <w:rFonts w:ascii="Times New Roman" w:hAnsi="Times New Roman" w:cs="Times New Roman"/>
          <w:i/>
          <w:iCs/>
          <w:color w:val="000000"/>
        </w:rPr>
        <w:t xml:space="preserve">Oakes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Justifiable in an open and democratic society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meaning of this we prefer the approach adopted by the European Commission in the case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Handyside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United Kingdom </w:t>
      </w:r>
      <w:r>
        <w:rPr>
          <w:rFonts w:ascii="Times New Roman" w:hAnsi="Times New Roman" w:cs="Times New Roman"/>
          <w:color w:val="000000"/>
        </w:rPr>
        <w:t xml:space="preserve">1 EHRR 737 where the approach of the Commission was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at 93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follows: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questions which fall to be considered are the needs or objectives of a democratic society in relation to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right or freedom concerned. Without a notion of such needs, the limitations essential to support them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cannot be evaluated. For example, freedom of expression is based on the need of a democratic society to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promote the individual self fulfilment of its members, the attainment of truth, participation in decision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making, and the striking of a balance between stability and change. The aim is to have a realistic, open,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tolerant society. This necessarily involves a delicate balance between the wishes of the individual and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utilitarian ‘greater good of the majority’. But democratic societies approach the problem from the standpoint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importance of the individual, and the undesirability of restricting his or her freedom. However, in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striking the balance certain controls on the individual’s freedom of expression may, in appropriate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be acceptable in order to respect the sensibilities of others. In this context freedom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expression is commonly subject in a democratic society to law importing restrictions considered necessary to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prevent seditions,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libellous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blasphemous or obscene publications. Indeed, the legal codes of all the Member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States of the EU contain legislation restricting in one way or another the right to freedom of expression in the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context of indecent, obscene or pornographic objects and literature.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can be regarded as a clear indication of the need for such legislation in a democratic society.”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Closer home in the South African case of </w:t>
      </w:r>
      <w:r>
        <w:rPr>
          <w:rFonts w:ascii="Times New Roman" w:hAnsi="Times New Roman" w:cs="Times New Roman"/>
          <w:i/>
          <w:iCs/>
          <w:color w:val="000000"/>
        </w:rPr>
        <w:t xml:space="preserve">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Makwanyane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1995 (6) BCLR 665 (CC)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Chaskalson</w:t>
      </w:r>
      <w:proofErr w:type="spellEnd"/>
      <w:r>
        <w:rPr>
          <w:rFonts w:ascii="Times New Roman" w:hAnsi="Times New Roman" w:cs="Times New Roman"/>
          <w:color w:val="000000"/>
        </w:rPr>
        <w:t xml:space="preserve"> P stated: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limitation of constitutional rights for a purpose that is. . .and necessary in a democratic society involves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weighing up of competing values and ultimately an assessment based on proportionality. . .the fact that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different implications for democracy, and in the case of our Constitution where ‘an open and democratic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society based on freedom and equality’ means that there is no absolute standard which can be laid down for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determining reasonableness and necessity. Principles can be established but the application of those principles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particular circumstances can only be done on a case by case basis. This is inherent in the requirement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proportionality which calls for the balancing of different interests.”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Turning to the Kenya situation and this matter in particular and while adopting almost the same principle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set out by </w:t>
      </w:r>
      <w:proofErr w:type="spellStart"/>
      <w:r>
        <w:rPr>
          <w:rFonts w:ascii="Times New Roman" w:hAnsi="Times New Roman" w:cs="Times New Roman"/>
          <w:color w:val="000000"/>
        </w:rPr>
        <w:t>Chaskalson</w:t>
      </w:r>
      <w:proofErr w:type="spellEnd"/>
      <w:r>
        <w:rPr>
          <w:rFonts w:ascii="Times New Roman" w:hAnsi="Times New Roman" w:cs="Times New Roman"/>
          <w:color w:val="000000"/>
        </w:rPr>
        <w:t xml:space="preserve"> P above we must however consider the textual scope of our Constitution that is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balancing in section 70 and section 79 must take into account the rights of others (which are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equivalent) and the public interest. Finally in </w:t>
      </w:r>
      <w:proofErr w:type="spellStart"/>
      <w:r>
        <w:rPr>
          <w:rFonts w:ascii="Times New Roman" w:hAnsi="Times New Roman" w:cs="Times New Roman"/>
          <w:color w:val="000000"/>
        </w:rPr>
        <w:t>analysing</w:t>
      </w:r>
      <w:proofErr w:type="spellEnd"/>
      <w:r>
        <w:rPr>
          <w:rFonts w:ascii="Times New Roman" w:hAnsi="Times New Roman" w:cs="Times New Roman"/>
          <w:color w:val="000000"/>
        </w:rPr>
        <w:t xml:space="preserve"> the constitutional beacons touching on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interpretation of the rights and limitations section 83 of the Constitution does permit derogation as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regards sections 72, 76, 79, 80, 81 and 82 of the Constitution upon the coming into force of an order for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preservation of public security order under section 85. This is very much unlike article 19(2)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German Basic law which states that in no case may the essence of the basic right be encroached upon.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protection offered must be complete. It is noteworthy that the African Charter does not allow any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derogations, and therefore there is need to </w:t>
      </w:r>
      <w:proofErr w:type="spellStart"/>
      <w:r>
        <w:rPr>
          <w:rFonts w:ascii="Times New Roman" w:hAnsi="Times New Roman" w:cs="Times New Roman"/>
          <w:color w:val="000000"/>
        </w:rPr>
        <w:t>harmonise</w:t>
      </w:r>
      <w:proofErr w:type="spellEnd"/>
      <w:r>
        <w:rPr>
          <w:rFonts w:ascii="Times New Roman" w:hAnsi="Times New Roman" w:cs="Times New Roman"/>
          <w:color w:val="000000"/>
        </w:rPr>
        <w:t xml:space="preserve"> this in any future constitutional dispensation.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above analysis of the law in view, we decline to grant all the declarations and orders sought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wish to conclude that the civil court dealing with the adjudication of the civil obligations and rights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suit is at liberty to rule on all the rights and freedoms including the effect of limitation in so far as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subject matter of the suit is concerned after receiving evidence and evaluating it on merit.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role of the courts was well described by the European Court of Human Rights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Handyside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</w:t>
      </w:r>
      <w:r w:rsidR="00E911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United Kingdom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paragraph 49 in these words</w:t>
      </w:r>
      <w:r>
        <w:rPr>
          <w:rFonts w:ascii="Times New Roman" w:hAnsi="Times New Roman" w:cs="Times New Roman"/>
          <w:i/>
          <w:iCs/>
          <w:color w:val="000000"/>
        </w:rPr>
        <w:t>:</w:t>
      </w:r>
      <w:r w:rsidR="00E911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Court’s supervisory functions oblige it to pay the utmost attention to the principles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characterising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‘democratic society’. Freedom of expression constitutes one of the essential foundations of such a society,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of the basic conditions for its progress and for the development of every man. Subject to paragraph 2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article 10 it is applicable not only to information or ‘ideas’ that 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favourably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received or regarded as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inoffensive or as a matter of indifference but also to those that offend, shock or disturb the State or any sector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population. Such are the demands of that pluralism, tolerance and broadmindedness without which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is no ‘democratic society’. This means amongst other things that every ‘formality’, ‘condition’,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‘restriction’ or ‘penalty’ imposed in this sphere must be proportionate to the legitimate aim pursued.”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Under the law it is clear from the provisions of the Constitution and the Defamation Act that limitations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this right are properly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and it is wrong in our view to purport to articulate this right by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suppressing the right of a fair hearing. We cannot as a court suppress or stop the hearing of a case 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merit. Indeed, the definition of the rights and their limitations where applicable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result from the exercise of the right to a fair hearing and it is in such a hearing that the court has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 the principles enunciated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Handyside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above.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International Dimension </w:t>
      </w:r>
      <w:proofErr w:type="spellStart"/>
      <w:r>
        <w:rPr>
          <w:rFonts w:ascii="Times New Roman" w:hAnsi="Times New Roman" w:cs="Times New Roman"/>
          <w:color w:val="000000"/>
        </w:rPr>
        <w:t>Conerning</w:t>
      </w:r>
      <w:proofErr w:type="spellEnd"/>
      <w:r>
        <w:rPr>
          <w:rFonts w:ascii="Times New Roman" w:hAnsi="Times New Roman" w:cs="Times New Roman"/>
          <w:color w:val="000000"/>
        </w:rPr>
        <w:t xml:space="preserve"> Limitations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have argued that the suit instituted by the plaintiff is a threat to press freedom and that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should find that the limitations expressed in section 79 should be disregarded or that they ought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to apply because they negate the press freedom.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as set out in section 70 of the Constitution, limitations on the exercise of fundamental rights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freedoms are the result of a delicate but deliberate balance between the individual’s interest and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 interest and for the limitation to be lawful it must as regards the specific limitations in each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Be defined by law (as per the requirements under the Constitution in the case of Kenya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 section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79 and the Defamation Act);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 ii) Be imposed for one or more legitimate purposes;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(iii) Be necessary for one or more of these purposes in a democratic society (another way of describing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test of proportionality).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order to be necessary the limitation on the rights and freedoms, both in general and as applied in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individual case, must respond to a clearly established social need. It is not sufficient that the limitation is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desirable or that it is harmless as regards the functioning of the democratic constitutional order.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indicated above the defendants’ contention that the limitation on press freedom or the right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freedom of expression should not apply in the case, as a matter of law, lacks proper foundation in that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nearly all international instruments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limitations and that there is a social need to protect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and freedoms of others, reputations, morals and national security etc. These are carefully weighed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social interests. The recognition of the need for limitations is clearly evident in the entire European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Union landscape as demonstrated above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Handside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12(3), 13, 18(3), 19(3), 21, 22(2) of the International Covenant on Civil and Political Rights,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11 and 12(2) of the African Charter on Human and People Rights, also articles 11(2), 12(3),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13(2), 15 and 16(2) of the American Convention on Human Rights and finally articles 8(2) – 11(2)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European Convention on Human Rights all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need for limitations on the rights.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defendants’ contention that the intention of the suit in exercise by the plaintiff of her right to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fair hearing on merit is contrary to the named International Instruments, lacks any legal basis 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whatsoever. Most countries have passed the necessary laws to provide for the limitation to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safeguard certain social interests including reputation, morals and the right to respect for one’s private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family life. We find that the limitations are consistent with a sense of responsibility by those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and the need to discourage impunity. We further find that the limitation on the right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 or freedom of expression is not inconsistent with what is now almost an universally accepted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that freedom of expression is the basic element of the public order of a democratic society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presupposes both the widest possible circulation of news, ideas and opinions and the widest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access to information by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 as a whole and that the hallmark of the concept of public order in a democratic society is free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debate that is to say (as ably argued by the defendants’ counsel) a debate in which dissenting opinions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be fully heard and views can therefore be disseminated although they may shock, offend or disturb.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all as often repeated a society that is not well informed is not truly free.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careful consideration of international jurisprudence concerning the reputation of public figures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rights clearly demonstrates that their right is also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although criticism and scrutiny limits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wider in their case than against ordinary persons. This in turn underlines the findings in this ruling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there </w:t>
      </w:r>
      <w:r>
        <w:rPr>
          <w:rFonts w:ascii="Times New Roman" w:hAnsi="Times New Roman" w:cs="Times New Roman"/>
          <w:color w:val="000000"/>
        </w:rPr>
        <w:lastRenderedPageBreak/>
        <w:t>is need for a civil court to hear the matter on merit and be at liberty to apply this higher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scrutiny and come up with a proper finding on the facts. There cannot be a better illustration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scrutiny test for public figures than the finding of the European Court of Human Rights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Lingens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E911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Austria </w:t>
      </w:r>
      <w:r>
        <w:rPr>
          <w:rFonts w:ascii="Times New Roman" w:hAnsi="Times New Roman" w:cs="Times New Roman"/>
          <w:color w:val="000000"/>
        </w:rPr>
        <w:t>European Court Human Rights case of judgment of 8 July 1986 series A number 103 at 2-23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26-30 where the court observed: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“Freedom of the press furthermore afford the public one of the best means of discovering and forming an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 of the ideas and attitudes of political leaders. More generally freedom of political debate is at the very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core of the concept of a democratic society which prevails throughout the Convention. The limits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acceptable criticisms are accordingly wider as regards a politician as such than as regards a private individual.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Unlike the latter the former inevitably and knowingly lays himself open to close scrutiny of his every word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deed by both journalists and the public at large, and he must consequently display a greater degree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tolerance. No doubt article 10(2) enables the reputation of others – that is to say of all individuals – to be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protected, and this protection extends to politicians too, even when they are not acting in their private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capacity; but in such cases the requirements of such protection have to be weighed in relation to the interests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open discussion of political issues.”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would like to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the common good which is achieved by respecting the rights of others while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enjoying our own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mutuality. Thus, in the Inter American Court of Human Rights in the case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Compulsory Membership in an Association Prescribed by Law for The Practice of Journalism (Article 13</w:t>
      </w:r>
      <w:r w:rsidR="00E9111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ad 29 American Convention on Human Rights), Advisory Opinion OC5/85 of </w:t>
      </w:r>
      <w:r>
        <w:rPr>
          <w:rFonts w:ascii="Times New Roman" w:hAnsi="Times New Roman" w:cs="Times New Roman"/>
          <w:color w:val="000000"/>
        </w:rPr>
        <w:t xml:space="preserve">13 </w:t>
      </w:r>
      <w:r>
        <w:rPr>
          <w:rFonts w:ascii="Times New Roman" w:hAnsi="Times New Roman" w:cs="Times New Roman"/>
          <w:i/>
          <w:iCs/>
          <w:color w:val="000000"/>
        </w:rPr>
        <w:t xml:space="preserve">November </w:t>
      </w:r>
      <w:r>
        <w:rPr>
          <w:rFonts w:ascii="Times New Roman" w:hAnsi="Times New Roman" w:cs="Times New Roman"/>
          <w:color w:val="000000"/>
        </w:rPr>
        <w:t>1985 series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A, number 5 at 105 paragraph 41 it was held: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rights of each person are limited by the rights of others, by the security of all, and by the just demands of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general welfare in a democratic society.”</w:t>
      </w:r>
      <w:r w:rsidR="00E91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 democratic society in turn encourages a large measure of broadmindedness in approaching all issues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the enjoyment of rights and freedoms.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79 of the Constitution just as in article 19(3) of the International Covenant on Civil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Political Rights the words rights or reputation of others, relate to either, other persons or to a community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whole.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While the court </w:t>
      </w:r>
      <w:proofErr w:type="spellStart"/>
      <w:r>
        <w:rPr>
          <w:rFonts w:ascii="Times New Roman" w:hAnsi="Times New Roman" w:cs="Times New Roman"/>
          <w:color w:val="000000"/>
        </w:rPr>
        <w:t>recognises</w:t>
      </w:r>
      <w:proofErr w:type="spellEnd"/>
      <w:r>
        <w:rPr>
          <w:rFonts w:ascii="Times New Roman" w:hAnsi="Times New Roman" w:cs="Times New Roman"/>
          <w:color w:val="000000"/>
        </w:rPr>
        <w:t xml:space="preserve"> the central role the right of expression plays in safeguarding even the other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fundamental rights it is apparent from the above analysis of the law that it has limitations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by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many </w:t>
      </w:r>
      <w:proofErr w:type="spellStart"/>
      <w:r>
        <w:rPr>
          <w:rFonts w:ascii="Times New Roman" w:hAnsi="Times New Roman" w:cs="Times New Roman"/>
          <w:color w:val="000000"/>
        </w:rPr>
        <w:t>civilised</w:t>
      </w:r>
      <w:proofErr w:type="spellEnd"/>
      <w:r>
        <w:rPr>
          <w:rFonts w:ascii="Times New Roman" w:hAnsi="Times New Roman" w:cs="Times New Roman"/>
          <w:color w:val="000000"/>
        </w:rPr>
        <w:t xml:space="preserve"> states most of which have provided for reasonable limitations by law. In our view it is for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courts dealing with the facts and evidence in defamation suit to come up with appropriate findings so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substance of the right of expression is never taken away and that its exercise goes with a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measure of responsibility. The ability to maintain the correct balance will in turn depend on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facts of each case and it is therefore not the function of a Constitutional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Court to prescribe what is to be applied. This is why we have confined ourselves to the elaboration of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principles including an analysis of the extent of limitations under the Constitution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international level, including comparable jurisdictions. In this task the Courts have to bear in mind that at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end of the day it has been accepted that the true hallmark of a democratic society are pluralism,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tolerance and broadmindedness and although of necessity, individual interests must on occasion be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subordinated to those of a group, democracy does not simply mean that the views of a majority must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always prevail; a balance must be achieved which ensures the fair and proper treatment of minorities and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avoids any abuse of a dominant position – 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Handyside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We hope that pluralism is not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choice between good and evil because the first one builds the society and the second one destroys”.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regards to the right of hearing we have stressed that it has no specific limitations in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and to us it is a cradle right which each baby asserts upon birth by calling the attention of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“mama” with that first cry! Similarly the baby asserts its right of expression at the same time and in the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breath. The only difference is that the right of expression is limited while the right of hearing is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unlimited. This right of hearing cannot be taken away even from the mighty and this is why the suit must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on merit. We accordingly dismiss the Notice of Motion with costs to the respondent/plaintiff.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file is hereby referred back to the Civil Division.</w:t>
      </w:r>
      <w:r w:rsidR="00E91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on counsel omitted.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7B"/>
    <w:rsid w:val="00AB7022"/>
    <w:rsid w:val="00E9111F"/>
    <w:rsid w:val="00F8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FDE1A-B4A6-4AE0-A49A-42AEDF02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6858</Words>
  <Characters>39096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2018-07-05T06:21:00Z</dcterms:created>
  <dcterms:modified xsi:type="dcterms:W3CDTF">2018-07-12T19:42:00Z</dcterms:modified>
</cp:coreProperties>
</file>