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Kassim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Habre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International Ltd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12 July 2000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16/99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JSC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Constitutional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lsaw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Administration of justice – Court enjoined to administer justice without undue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regard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technicalities – Constitution Act 126(2)(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i/>
          <w:iCs/>
          <w:color w:val="000000"/>
        </w:rPr>
        <w:t>).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Taxation – Reference from taxing master to Supreme Court – Factors governing the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award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costs – Supreme Court Rules, Rules 104 and 105.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D28D9" w:rsidRDefault="00D33A4C" w:rsidP="00AD2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Respondent, </w:t>
      </w:r>
      <w:proofErr w:type="spellStart"/>
      <w:r>
        <w:rPr>
          <w:rFonts w:ascii="Times New Roman" w:hAnsi="Times New Roman" w:cs="Times New Roman"/>
          <w:color w:val="000000"/>
        </w:rPr>
        <w:t>Habre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Limited, successfully sued the Applicants in the High Court for the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70 million being the sum spent on the redevelopment of the suit premises following a fire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had destroyed the premises. The Applicants appealed to the Court of Appeal, which reversed the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Court decision on the ground that the High Court had no jurisdiction to entertain the claim. </w:t>
      </w:r>
      <w:proofErr w:type="spellStart"/>
      <w:r>
        <w:rPr>
          <w:rFonts w:ascii="Times New Roman" w:hAnsi="Times New Roman" w:cs="Times New Roman"/>
          <w:color w:val="000000"/>
        </w:rPr>
        <w:t>Habre</w:t>
      </w:r>
      <w:proofErr w:type="spellEnd"/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Limited then appealed to the Supreme Court, which allowed the appeal and restored the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Court decision. </w:t>
      </w:r>
      <w:proofErr w:type="spellStart"/>
      <w:r>
        <w:rPr>
          <w:rFonts w:ascii="Times New Roman" w:hAnsi="Times New Roman" w:cs="Times New Roman"/>
          <w:color w:val="000000"/>
        </w:rPr>
        <w:t>Habre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Limited then filed a bill of costs amounting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87 470 500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following taxation by the registrar, this was reduced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47 992 500 of which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for taking instructions and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was for arguing additional grounds. The Applicants were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dissatisfied with this taxation and brought this reference to a single judge of the Supreme Court under the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Rules, Rule 105 primarily on the ground that the amounts awarded under item 3 for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instruction fee and item 12 for arguing additional grounds were excessive.</w:t>
      </w:r>
      <w:r w:rsidR="00AD28D9">
        <w:rPr>
          <w:rFonts w:ascii="Times New Roman" w:hAnsi="Times New Roman" w:cs="Times New Roman"/>
          <w:color w:val="000000"/>
        </w:rPr>
        <w:t xml:space="preserve"> </w:t>
      </w:r>
    </w:p>
    <w:p w:rsidR="00AD28D9" w:rsidRDefault="00AD28D9" w:rsidP="00AD2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D28D9" w:rsidRDefault="00D33A4C" w:rsidP="00AD2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reference on taxation would be entertained either on a point of law or principle or on the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the bill of costs as taxed was in all the circumstances manifestly excessive or manifestly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inadequate. The principles governing the taxation of costs by a taxing master were that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instruction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fee should cover the advocate’s work including taking instructions and preparing the case for trial or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(ii) although there was no rule of law requiring a court to do so, it would be proper to give a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slightly higher award to counsel for an appellant, (iii) the taxing master was expected to tax each bill on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merits, (iv) the value of the subject matter had to be taken into account, (v) the taxing master’s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was to be exercised judicially and not whimsically or capriciously, (vi) though the successful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litigant was entitled to a fair reimbursement, the taxing master had to consider the public interest such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costs were not to be allowed to rise to a level that would confine access to the courts to the wealthy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while, at the same time, the general level of remuneration of advocates had to be such as to attract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recruits to the profession;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Quarry Services of East Africa Ltd </w:t>
      </w:r>
      <w:r>
        <w:rPr>
          <w:rFonts w:ascii="Times New Roman" w:hAnsi="Times New Roman" w:cs="Times New Roman"/>
          <w:color w:val="000000"/>
        </w:rPr>
        <w:t>[1972] EA 162 followed,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(vii) the taxing master had to tax the bill in accordance with the Schedule to the Supreme Court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Rules. The taxing master had correctly stated the position in law and had been alive to the principles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governing both taxation in general and in the Supreme Court. However, he had erred in finding that the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was complex enough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justify an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under item 3 for taking instructions. The issues involved in the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were clear, involved only one ground and there was no ambiguity. Though the assessment of the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instruction fee in the Supreme Court was in the taxing master’s discretion, this was a discretion to be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exercised judicially and in the circumstances the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under item 12 was excessive.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instance, costs of UShs15 million and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 million, respectively, would be substituted as being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appropriate and reasonable.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of law were enjoined by the Constitution to administer justice without due regard to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technicalities. The slight difference in names of the Respondent in the record was not fatal to the award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there was no mistake as to the identity of the parties.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costs should have been awarded to </w:t>
      </w:r>
      <w:proofErr w:type="spellStart"/>
      <w:r>
        <w:rPr>
          <w:rFonts w:ascii="Times New Roman" w:hAnsi="Times New Roman" w:cs="Times New Roman"/>
          <w:color w:val="000000"/>
        </w:rPr>
        <w:t>Habre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Limited for the counterclaim as the matter</w:t>
      </w:r>
      <w:r w:rsidR="00AD2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been considered by the trial court.</w:t>
      </w:r>
      <w:r w:rsidR="00AD28D9">
        <w:rPr>
          <w:rFonts w:ascii="Times New Roman" w:hAnsi="Times New Roman" w:cs="Times New Roman"/>
          <w:color w:val="000000"/>
        </w:rPr>
        <w:t xml:space="preserve"> </w:t>
      </w:r>
    </w:p>
    <w:p w:rsidR="00AD28D9" w:rsidRDefault="00AD28D9" w:rsidP="00AD2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D33A4C" w:rsidRDefault="00D33A4C" w:rsidP="00AD2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Uganda Blanket Manufacturers </w:t>
      </w:r>
      <w:r>
        <w:rPr>
          <w:rFonts w:ascii="Times New Roman" w:hAnsi="Times New Roman" w:cs="Times New Roman"/>
          <w:color w:val="000000"/>
        </w:rPr>
        <w:t>civil appeal number 17 of 1993</w:t>
      </w:r>
    </w:p>
    <w:p w:rsidR="00D33A4C" w:rsidRDefault="00D33A4C" w:rsidP="00D3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Bishari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Vitafoam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(U) Ltd </w:t>
      </w:r>
      <w:r>
        <w:rPr>
          <w:rFonts w:ascii="Times New Roman" w:hAnsi="Times New Roman" w:cs="Times New Roman"/>
          <w:color w:val="000000"/>
        </w:rPr>
        <w:t>civil application number 13 of 1995</w:t>
      </w:r>
    </w:p>
    <w:p w:rsidR="003F18BF" w:rsidRDefault="00D33A4C" w:rsidP="00D33A4C">
      <w:proofErr w:type="spellStart"/>
      <w:r>
        <w:rPr>
          <w:rFonts w:ascii="Times New Roman" w:hAnsi="Times New Roman" w:cs="Times New Roman"/>
          <w:i/>
          <w:iCs/>
          <w:color w:val="000000"/>
        </w:rPr>
        <w:t>Phemchand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and another v Quarry Services of East Africa Ltd and others </w:t>
      </w:r>
      <w:r>
        <w:rPr>
          <w:rFonts w:ascii="Times New Roman" w:hAnsi="Times New Roman" w:cs="Times New Roman"/>
          <w:color w:val="000000"/>
        </w:rPr>
        <w:t>[1972] 3 EA 162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4C"/>
    <w:rsid w:val="003F18BF"/>
    <w:rsid w:val="00AD28D9"/>
    <w:rsid w:val="00D3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4D610-AA5D-460B-B09B-0C6FCCF0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2018-07-05T11:38:00Z</dcterms:created>
  <dcterms:modified xsi:type="dcterms:W3CDTF">2018-07-12T19:42:00Z</dcterms:modified>
</cp:coreProperties>
</file>