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Kassim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Habre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International Ltd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12 July 2000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16/99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JSC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Constitutional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lsaw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Administration of justice – Court enjoined to administer justice without undue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regard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technicalities – Constitution Act 126(2)(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i/>
          <w:iCs/>
          <w:color w:val="000000"/>
        </w:rPr>
        <w:t>).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Taxation – Reference from taxing master to Supreme Court – Factors governing the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award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costs – Supreme Court Rules, Rules 104 and 105.</w:t>
      </w:r>
    </w:p>
    <w:p w:rsidR="00CD2C67" w:rsidRDefault="00050328" w:rsidP="000503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CD2C67" w:rsidRDefault="00CD2C67" w:rsidP="000503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MUKASA-KIKONYOGO JSC: </w:t>
      </w:r>
      <w:r>
        <w:rPr>
          <w:rFonts w:ascii="Times New Roman" w:hAnsi="Times New Roman" w:cs="Times New Roman"/>
          <w:color w:val="000000"/>
        </w:rPr>
        <w:t>This is a reference to me on taxation under Rule 105 of the Rules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Supreme Court. It is brought against the ruling of the registrar in his capacity as a taxing master. 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taxed a bill of costs of the successful Appellant in civil appeal number 4 of 1999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47 992 500 out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which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30 000 000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15 000 000 were instruction fees for taking, instructions and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arguing additional grounds respectively.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background leading to the reference is that </w:t>
      </w:r>
      <w:proofErr w:type="spellStart"/>
      <w:r>
        <w:rPr>
          <w:rFonts w:ascii="Times New Roman" w:hAnsi="Times New Roman" w:cs="Times New Roman"/>
          <w:color w:val="000000"/>
        </w:rPr>
        <w:t>Habre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Company Limited hereinafter 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called the Respondent successfully sued </w:t>
      </w:r>
      <w:proofErr w:type="spellStart"/>
      <w:r>
        <w:rPr>
          <w:rFonts w:ascii="Times New Roman" w:hAnsi="Times New Roman" w:cs="Times New Roman"/>
          <w:color w:val="000000"/>
        </w:rPr>
        <w:t>Ebrahim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Allarakhia</w:t>
      </w:r>
      <w:proofErr w:type="spellEnd"/>
      <w:r>
        <w:rPr>
          <w:rFonts w:ascii="Times New Roman" w:hAnsi="Times New Roman" w:cs="Times New Roman"/>
          <w:color w:val="000000"/>
        </w:rPr>
        <w:t xml:space="preserve"> and others hereinafter to be referred to as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Applicants for a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70 000 000 spent on development on the suit premises. When the suit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were destroyed by fire in 1985 the Custodian Board allowed the Respondent to rebuild and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 new structures on the site. The plans were approved by Kampala City Council.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in 1992 the Applicants repossessed the suit premises as former owners under the Expropriated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Properties Act 9 of 1982. When the Respondent was served with notice to quit, it asked the Applicants 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70 000 000 as compensation for the developments carried out on the suit premises.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 agreed to compensate the Respondent but offered to pay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only.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rejected the offer. It instead sued the Applicants in the High Court and won the case.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by the decision of the High Court the Applicants successfully appealed to the Court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Appeal, which reversed the decision of the High Court. The Court of Appeal held,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had no original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entertain the claim because the Respondent had not complied with the provisions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11(2) and 14(1) of the Expropriated Properties Act and regulation 8(1) of the Expropriated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Properties (Possession and Disposal) Regulations 1983.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Dissatisfied with the judgment of the Court of Appeal the Respondent lodged an appeal to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on two grounds but which could be reduced to one ground namely that: “The Court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erred in law when it held that the High Court had no original jurisdiction to entertain a claim for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improvements in respect of property to which the Expropriated Properties Act applies. The appeal was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with costs in the Supreme Court and courts below”.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filed a bill of costs in the total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87 470 500 but the registrar taxed it at a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total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47 992 500. The Applicants were dissatisfied with the taxation and, hence, filed this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a single judge of the court.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reference is based on the following seven grounds: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1. </w:t>
      </w: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taxing master erred in law which he taxed a bill of costs presented by an applicant who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have judgment and decree in its favour.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2. That the taxing master was in error when he awarded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instruction fee under item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which was manifestly excessive and amounted to a misdirection of principle.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3. That the taxing master was in error when he took into account the time taken when the advocates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handled the case right from the High Court.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4. That the taxing master was in error and misdirected himself when he took into account a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 that was considered by the High Court and Supreme Court.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5. That the taxing master was in error and misdirected himself on principle when he awarded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million on item 12 purportedly for arguing additional grounds of appeal. The award is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manifestly excessive and extravagant and amounts to misdirection on principle.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6. That the taxing master was in error and misdirected himself when he found that the appeal was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complex when it involved simple interpretation of section 11 of the Expropriated Properties Act 9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1982.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7. That the taxing master was in error and misdirected himself when he failed to find that perusals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written submissions are part of the instruction fee.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counsel for the Applicants, </w:t>
      </w:r>
      <w:r>
        <w:rPr>
          <w:rFonts w:ascii="Times New Roman" w:hAnsi="Times New Roman" w:cs="Times New Roman"/>
          <w:color w:val="000000"/>
        </w:rPr>
        <w:lastRenderedPageBreak/>
        <w:t>hence asked the court to make orders that: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taxing master’s award be set aside.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alternative but without prejudice to the foregoing, that the taxing master’s award be set aside and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substituted with such a sum that justice of the case requires.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Respondent pays the costs of this reference and before the taxing master”.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Court will entertain a reference on taxation on two grounds namely on a point of law or principle or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the bill of costs as taxed is in all circumstances manifestly excessive or manifestly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inadequate. This is contained in Rule 105(1) and (3) of the Rules of this Court.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105(1) reads that: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person who is dissatisfied with the decision of the Registrar in his capacity as a taxing officer may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 any matter of law or principle to be referred to a Judge of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for his or her decision and the Judge shall determine the matter as the justice of the case may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require”.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3 states that: “Any person who contends that a bill of costs taxed is, in all the circumstances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manifestly excessive or manifestly inadequate, may require the bill to he referred to a Judge and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may make such deductions or addition as will render the bill reasonable”.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principles governing taxation of costs by a taxing master are well settled. Firstly the instructions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 should cover the advocates’ work including taking instructions and any other work necessary for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presenting the case for trial or appeal. Secondly it would be proper to give a slightly higher award to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although there is no rule of law requiring the court to do so. Thirdly, the taxing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master is expected to tax each bill on its merits. Nobody could pretend that by any mathematical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calculation the taxing master will arrive at an exact award of costs. Fourthly, the taxing master will have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take into account the value of the subject matter. Fifthly, although the taxing master has a discretion 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to exercise it judicially and not whimsically or capriciously. Sixthly, whilst the successful litigant is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a fair reimbursement of the costs he has incurred, the taxing master must take into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consideration the public interest. As it was held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Phemchand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another v</w:t>
      </w:r>
      <w:r w:rsidR="0005032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Quarry Services of East Africa Ltd and others </w:t>
      </w:r>
      <w:r>
        <w:rPr>
          <w:rFonts w:ascii="Times New Roman" w:hAnsi="Times New Roman" w:cs="Times New Roman"/>
          <w:color w:val="000000"/>
        </w:rPr>
        <w:t>[1972] 3 EA 162 costs must not be allowed to rise to such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level as to confine access to the courts to the wealthy. On the other hand, the general level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remuneration of advocates must be such as to attract recruits to the profession.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the registrar of this Court has to tax the bill in accordance with the Schedule to the Rules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Court, for Rule 104(2) provides that: “The costs shall be taxed in accordance with the Rules and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Scale set out in the Third Schedule to these Rules”.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next proceed to consider the submissions of the counsel for the parties on the seven grounds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reference. The first observation I wish to make is that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make any submissions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 three and six, I take it that they are both abandoned. I do not know what he wanted to say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as it appears these grounds could have very easily been agreed under the remaining grounds.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Basing myself on the aforesaid principles I propose to start with ground one, followed by grounds four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seven. I intend to take grounds two and five together and to consider them last.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first ground of reference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taxing master for taxing a bill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presented by a stranger who did not have judgment. He referred the Court to paragraph 2(1) of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Schedule to the Rules which reads that: “Where costs are to be taxed the advocate for the party 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the costs were awarded shall lodge his or her bill with the taxing officer and shall, before, or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seven days after lodging it serve a copy of it on the advocate for the party liable to pay it”.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Babigumira’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is that it is only a party who has been awarded costs that can lodge a bill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costs. On perusal of the record at page 41 whilst it is </w:t>
      </w:r>
      <w:proofErr w:type="spellStart"/>
      <w:r>
        <w:rPr>
          <w:rFonts w:ascii="Times New Roman" w:hAnsi="Times New Roman" w:cs="Times New Roman"/>
          <w:color w:val="000000"/>
        </w:rPr>
        <w:t>Habre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Limited which lodged the bill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costs to be taxed, the decree on page 39 shows that it was made in favour of a different party namely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Habre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Company Limited. To him no matter how slight the mistake was it should have been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before the taxation was done.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color w:val="000000"/>
        </w:rPr>
        <w:t>, for the Respondents, who opposed the reference, explained that the same issue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raised before the Supreme Court. The objection to the name has already been rejected.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 this was not a fatal mistake on the part of the taxing master. Both parties know who they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are. They started from the High Court up the Supreme Court. There is no mistake as to the identity of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parties. The courts of law are enjoined by Article 126(2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Constitution of Uganda 1995 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administer substantive justice without undue regard to technicalities. I see no merit in this ground. It must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fourth ground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taxing master erred and misdirected himself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took into account a counterclaim which had not been considered by the High Court and Supreme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The trial Judge did not make a decision on it nor was it an issue before the Supreme Court. Worse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the advocates who argued the appeal did not participate in the proceedings before the High Court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hence there was no work done by them.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the court to paragraph 2(3) of </w:t>
      </w:r>
      <w:r>
        <w:rPr>
          <w:rFonts w:ascii="Times New Roman" w:hAnsi="Times New Roman" w:cs="Times New Roman"/>
          <w:color w:val="000000"/>
        </w:rPr>
        <w:lastRenderedPageBreak/>
        <w:t>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Schedule which reads that: “A bill of costs may not be lodged by an advocate who is not on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record”. As far as he was concerned, the taxing master acted without due care when he awarded costs for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counterclaim.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it did not matter that the counterclaim was not considered by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 The prayer in the Supreme Court was for restoration of the judgment of the High Court.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 was part of the proceedings. As for the criticism that costs were awarded to an advocate for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work done by other advocates in High Court,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costs are not awarded 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but to a successful party.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counterclaim it is true as submitted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may have been part of the proceedings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it was not considered by the trial court. I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costs should have been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on it. With regard to the complaint that the present advocate was awarded costs for work done in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by other advocates the position on change of advocates is clearly stated under paragraph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 of the Third Schedule.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provides that: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has been a change of advocates, the bill of costs of the first advocate may be annexed to that of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current advocate and the total shown as a disbursement.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bill shall be taxed in the ordinary way, the current Advocate being heard on it, but the taxing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officer may require the first advocate to attend”.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 is self-explanatory and does not need much comment, moreover this item was awarded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instructions fee so it will also be considered under grounds two and five. However, in my view no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should have been awarded on the counterclaim, which was not considered by the court. This ground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hence succeed.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seventh ground,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this Court to paragraph 9(3) of the Third Schedule,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provides for quantum of costs.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reads that: “The sum allowed under sub paragraph (2) (that is fees for instructions to appeal) shall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 all the work necessarily and properly done in connection with the appeal and not otherwise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chargeable including attendances, correspondence, perusals and consulting authorities”.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the contention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a misdirection for the taxing master to allow sums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money claimed for writing submissions as a result of which at the end he awarded an extravagant sum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47 992 500. I do not accept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submission, there was no misdirection on the part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taxing master. He considered and properly awarded his other claims complained of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503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paragraph 9 of the Third Schedule. The only valid complaint would perhaps be on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 of quantum. In my view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main complaint was under grounds two and five which I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take care of all these little complaints on the taxing master awards on items 1, 2, 18, 19 and 20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bill of costs. This ground was superfluous and unnecessary. It must fail.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proceed to consider grounds two and five, which I think are the main grounds of this reference.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gist of these grounds is that the taxing master erred in law when he awarded instruction fee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30 million for taxing instructions to lodge an appeal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for arguing additional grounds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which awards were manifestly excessive and extravagant which amounted to a misdirection on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principle. In his submission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appeal was not so complex as to justify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such a big award. The appeal involved only one ground namely interpretation of section 11(2)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14(1) of the Expropriated Properties Act and regulation 8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To him the fact that it was the first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for such an issue to be considered by the Supreme Court did not in itself make the appeal complex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difficult. It was a simple one without any ambiguity. He referred the court to the case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</w:t>
      </w:r>
      <w:r>
        <w:rPr>
          <w:rFonts w:ascii="Times New Roman" w:hAnsi="Times New Roman" w:cs="Times New Roman"/>
          <w:color w:val="000000"/>
        </w:rPr>
        <w:t>civil appeal number 17 of 1993 and proposed a sum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1 500 000 as instruction fee to lodge an appeal under item 3.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claim under item 12, that is instruction fee to argue additional grounds,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was not a cross-appeal. It was notice for arguing additional grounds under Rule 87(1) of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the Supreme Court which reads that: “A respondent who desires to contend on an appeal in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should be affirmed on grounds other than or additional to those, relied upon by court,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shall </w:t>
      </w:r>
      <w:proofErr w:type="spellStart"/>
      <w:r>
        <w:rPr>
          <w:rFonts w:ascii="Times New Roman" w:hAnsi="Times New Roman" w:cs="Times New Roman"/>
          <w:color w:val="000000"/>
        </w:rPr>
        <w:t>given</w:t>
      </w:r>
      <w:proofErr w:type="spellEnd"/>
      <w:r>
        <w:rPr>
          <w:rFonts w:ascii="Times New Roman" w:hAnsi="Times New Roman" w:cs="Times New Roman"/>
          <w:color w:val="000000"/>
        </w:rPr>
        <w:t xml:space="preserve"> notice to that effect, specifying the grounds of his or her contention”.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Citing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Bishari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Vitafoam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(U) Ltd </w:t>
      </w:r>
      <w:r>
        <w:rPr>
          <w:rFonts w:ascii="Times New Roman" w:hAnsi="Times New Roman" w:cs="Times New Roman"/>
          <w:color w:val="000000"/>
        </w:rPr>
        <w:t xml:space="preserve">civil application number 13 of 1995,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 w:rsidR="0005032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 that similarly the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15 000 000 granted by the taxing master was excessive and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extravagant. He proposed that it should be 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600 000 or such sum which the court will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appropriate in the circumstances of this case.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both awards under item 3 and 12. He submitted that they were not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excessive. To him this appeal involved interpretation of difficult provisions of the Expropriation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Properties Act. The issues argued were not simple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wanted this Court to believe.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was sufficiently complex to justify the awards. The court did not easily come to a decision on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interpretation of sections </w:t>
      </w:r>
      <w:r>
        <w:rPr>
          <w:rFonts w:ascii="Times New Roman" w:hAnsi="Times New Roman" w:cs="Times New Roman"/>
          <w:color w:val="000000"/>
        </w:rPr>
        <w:lastRenderedPageBreak/>
        <w:t>11(2) and 14(1) of Expropriated Properties Act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courts must strike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balance between public interest and the legal profession. The awards for costs should be kept at a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level so as to attract recruits to the profession but not to drive them away. Further the court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to consider the work put in, papers, written submissions and the research carried out by the advocate.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asked the court to uphold both awards.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complaints under these two grounds (two and five), there is no doubt the taxing master was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alive to the principles governing both taxation in general and in this Court. He carried out the taxation in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Rule 105(2) and the Third Schedule to the Rules of the Supreme Court. He particularly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addressed himself of the provisions of paragraph 9(2) and (3) of the said Third Schedule. He correctly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the position of the law. I cannot fault him on that. He also perused and correctly stated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laid down in the relevant authorities on taxation.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problem with these two awards is that in all circumstances of this case they were both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manifestly excessive. In his ruling the taxing master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that: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“[T]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urning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present case I don’t agree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Orachi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Respondents that the nature of this claim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a simple liquidated demand for costs of repairs on Custodian Board property. The issues involved were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more complex and rotated around whether the lower court misquoted and misapplied section 14(1) of the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Expropriated Properties Act 1982 and the Regulations of the Expropriated Properties (Repossession and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Disposal) Regulations 1983”.</w:t>
      </w:r>
      <w:r w:rsidR="000503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I do not agree that the appeal was sufficiently complex to justify such a generous award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for taking instructions. The appeal was not all that difficult. It did not take the Supreme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very long to reach a decision. The issues involved were clear and without any ambiguity. Their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Lordships quickly reached an agreement on the decision. A case in point 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Bishari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Vitafoam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(U) Ltd</w:t>
      </w:r>
      <w:r w:rsidR="0005032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where an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8 million was found to be manifestly extravagant and as such amounted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misdirection in principle. It was accordingly 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2 500 000. I agree that the taxing master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guided by the principles laid down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another v Quarry</w:t>
      </w:r>
      <w:r w:rsidR="0005032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Services of East Africa and others </w:t>
      </w:r>
      <w:r>
        <w:rPr>
          <w:rFonts w:ascii="Times New Roman" w:hAnsi="Times New Roman" w:cs="Times New Roman"/>
          <w:color w:val="000000"/>
        </w:rPr>
        <w:t>[1972] 3 EA 162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justified to give counsel for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 slightly higher award for the responsibility of advising his client to attack the judgment of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Appeal. However, such award still had to be reasonable and not excessive. Further he rightly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into account other factors like the interest of the parties and the period of six years the matter has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pending in court, but I would still find the two awards excessive.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accept the submission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on item 12, the taxing master rightly took into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the industry put in by the counsel and research carried out by him. That notwithstanding, I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still consider the present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15 000 000 too high even with those factors taken into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account. I agree with the taxing master that unlike in the High Court where assessment is done according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scale of the value of the subject matter, the assessment of the instruction fee in the Supreme Court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in his discretion.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the taxing master has to exercise his discretion judicially. He has to take into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factors under paragraph 9 of the Third Schedule which include the amount involved in the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In the instant case the award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15 000 000 for arguing additional grounds in my view was not reasonable. It was no doubt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excessive, considering the fact that the value involved in the appeal was only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70 000 000.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in all a total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47 992 500 awarded in the present case by the taxing master was too high. In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where the value of the subject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was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2,8 billion an award of costs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200 000 000 was considered to be excessive by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JSC. It was 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50 000 000. See also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Bishari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instant case the sums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1 500 000 on item 3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600 000 on item 12 suggested by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in my view manifestly inadequate in the circumstances of this case. I consider a sum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as instruction fee under item 3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million under item 12 respectively as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and reasonable awards of instruction fees. In the result grounds two and five would succeed.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Consequently the taxed bill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47 992 500 would be adjusted according to the deductions made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me to leave a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22 992 500. Each party should bear its own costs of this application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those before the taxing master.</w:t>
      </w:r>
      <w:r w:rsidR="00050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Applicants: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sBabigumira</w:t>
      </w:r>
      <w:proofErr w:type="spellEnd"/>
      <w:proofErr w:type="gramEnd"/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CD2C67" w:rsidRDefault="00CD2C67" w:rsidP="00CD2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</w:p>
    <w:p w:rsidR="003F18BF" w:rsidRDefault="003F18BF" w:rsidP="00CD2C67"/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67"/>
    <w:rsid w:val="00050328"/>
    <w:rsid w:val="003F18BF"/>
    <w:rsid w:val="00C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7C3C-FE09-4CAE-BF17-CC4A0D39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2018-07-05T11:39:00Z</dcterms:created>
  <dcterms:modified xsi:type="dcterms:W3CDTF">2018-07-12T19:44:00Z</dcterms:modified>
</cp:coreProperties>
</file>