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889" w:rsidRDefault="006F1889" w:rsidP="006F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Katurature and another v Karegyera and others</w:t>
      </w:r>
    </w:p>
    <w:p w:rsidR="006F1889" w:rsidRDefault="006F1889" w:rsidP="006F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Uganda at Kampala</w:t>
      </w:r>
    </w:p>
    <w:p w:rsidR="006F1889" w:rsidRDefault="006F1889" w:rsidP="006F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28 February 2003</w:t>
      </w:r>
    </w:p>
    <w:p w:rsidR="006F1889" w:rsidRDefault="006F1889" w:rsidP="006F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128/02</w:t>
      </w:r>
    </w:p>
    <w:p w:rsidR="006F1889" w:rsidRDefault="006F1889" w:rsidP="006F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Okello JA</w:t>
      </w:r>
    </w:p>
    <w:p w:rsidR="006F1889" w:rsidRDefault="006F1889" w:rsidP="006F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6F1889" w:rsidRDefault="006F1889" w:rsidP="006F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A Mwanzia</w:t>
      </w:r>
    </w:p>
    <w:p w:rsidR="006F1889" w:rsidRDefault="006F1889" w:rsidP="006F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Appeal – Time – Extension of time to lodge notice of appeal – Parties alleging ignorance and failure of</w:t>
      </w:r>
    </w:p>
    <w:p w:rsidR="006F1889" w:rsidRDefault="006F1889" w:rsidP="006F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their lawyer to advise on time of lodging appeal – Whether sufficient cause – Principles upon which</w:t>
      </w:r>
    </w:p>
    <w:p w:rsidR="006F1889" w:rsidRDefault="006F1889" w:rsidP="006F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extension to be granted – Rules 4 and 42 – Court of Appeal Rules Uganda</w:t>
      </w:r>
    </w:p>
    <w:p w:rsidR="006F1889" w:rsidRDefault="006F1889" w:rsidP="006F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6F1889" w:rsidRDefault="006F1889" w:rsidP="006F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Applicants had instituted a suit in the Magistrate Grade II Court against the Respondents in trespass</w:t>
      </w:r>
    </w:p>
    <w:p w:rsidR="005F0D49" w:rsidRDefault="006F1889" w:rsidP="005F0D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over piece of land comprised in leasehold LWM/5918 Volume 981 folio 2, of which the Applicants</w:t>
      </w:r>
      <w:r w:rsidR="005F0D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claimed they were joint proprietors. They lost and appealed to the Chief Magistrate and further to the</w:t>
      </w:r>
      <w:r w:rsidR="005F0D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Court. The High Court dismissed their appeal. They later brought an application to the Court of</w:t>
      </w:r>
      <w:r w:rsidR="005F0D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Appeal seeking extension of time within which to lodge a notice of appeal on grounds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</w:t>
      </w:r>
      <w:r w:rsidR="005F0D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were illiterate and were wrongly advised or not advised as to the time within which to commence</w:t>
      </w:r>
      <w:r w:rsidR="005F0D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appeal against the decision of the High Court. They argued that the lawyer who had represented</w:t>
      </w:r>
      <w:r w:rsidR="005F0D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 in the High Court had failed to advise them after judgment about the time required to commence the</w:t>
      </w:r>
      <w:r w:rsidR="005F0D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and that this reason constituted a sufficient cause to justify grant of the extension sought.</w:t>
      </w:r>
      <w:r w:rsidR="005F0D49">
        <w:rPr>
          <w:rFonts w:ascii="Times New Roman" w:hAnsi="Times New Roman" w:cs="Times New Roman"/>
          <w:color w:val="000000"/>
        </w:rPr>
        <w:t xml:space="preserve"> </w:t>
      </w:r>
    </w:p>
    <w:p w:rsidR="005F0D49" w:rsidRDefault="005F0D49" w:rsidP="005F0D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F1889" w:rsidRDefault="006F1889" w:rsidP="005F0D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Rule 4 of the Court of Appeal Rules gives the Court wide discretion in granting time within</w:t>
      </w:r>
      <w:r w:rsidR="005F0D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to take a particular step required by the Rules. The discretion must be exercised in favour of the</w:t>
      </w:r>
      <w:r w:rsidR="005F0D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when she/he has shown by evidence sufficient cause. The sufficient cause must relate to the</w:t>
      </w:r>
      <w:r w:rsidR="005F0D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failure to take the particular steps in time (</w:t>
      </w:r>
      <w:r>
        <w:rPr>
          <w:rFonts w:ascii="Times New Roman" w:hAnsi="Times New Roman" w:cs="Times New Roman"/>
          <w:i/>
          <w:iCs/>
          <w:color w:val="000000"/>
        </w:rPr>
        <w:t xml:space="preserve">Mugo v Wanjiri </w:t>
      </w:r>
      <w:r>
        <w:rPr>
          <w:rFonts w:ascii="Times New Roman" w:hAnsi="Times New Roman" w:cs="Times New Roman"/>
          <w:color w:val="000000"/>
        </w:rPr>
        <w:t>[1970] EA 481 followed).</w:t>
      </w:r>
      <w:r w:rsidR="005F0D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delay must not be caused or contributed to by dilatory conduct (</w:t>
      </w:r>
      <w:r>
        <w:rPr>
          <w:rFonts w:ascii="Times New Roman" w:hAnsi="Times New Roman" w:cs="Times New Roman"/>
          <w:i/>
          <w:iCs/>
          <w:color w:val="000000"/>
        </w:rPr>
        <w:t>Shanti v Hudocha and others</w:t>
      </w:r>
      <w:r w:rsidR="005F0D4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[1973] EA 207 followed).</w:t>
      </w:r>
      <w:r w:rsidR="005F0D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Applicants had not instructed their lawyer in time. They had not shown that they were blameless</w:t>
      </w:r>
      <w:r w:rsidR="005F0D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delay nor had they shown sufficient cause to justify grant of the extension sought.</w:t>
      </w:r>
      <w:r w:rsidR="005F0D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dismissed.</w:t>
      </w:r>
    </w:p>
    <w:p w:rsidR="006F1889" w:rsidRDefault="006F1889" w:rsidP="006F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6F1889" w:rsidRDefault="006F1889" w:rsidP="006F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6F1889" w:rsidRDefault="006F1889" w:rsidP="006F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6F1889" w:rsidRDefault="006F1889" w:rsidP="006F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6F1889" w:rsidRDefault="006F1889" w:rsidP="006F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Balyejusa v Development Finance Company Ltd </w:t>
      </w:r>
      <w:r>
        <w:rPr>
          <w:rFonts w:ascii="Times New Roman" w:hAnsi="Times New Roman" w:cs="Times New Roman"/>
          <w:color w:val="000000"/>
        </w:rPr>
        <w:t>civil application number 34 of 2000 (UR)</w:t>
      </w:r>
    </w:p>
    <w:p w:rsidR="006F1889" w:rsidRDefault="006F1889" w:rsidP="006F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Mugo v Wanjiri </w:t>
      </w:r>
      <w:r>
        <w:rPr>
          <w:rFonts w:ascii="Times New Roman" w:hAnsi="Times New Roman" w:cs="Times New Roman"/>
          <w:color w:val="000000"/>
        </w:rPr>
        <w:t xml:space="preserve">[1970] EA 481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21070D" w:rsidRDefault="006F1889" w:rsidP="006F1889">
      <w:r>
        <w:rPr>
          <w:rFonts w:ascii="Times New Roman" w:hAnsi="Times New Roman" w:cs="Times New Roman"/>
          <w:i/>
          <w:iCs/>
          <w:color w:val="000000"/>
        </w:rPr>
        <w:t xml:space="preserve">Shanti v Hundocha and others </w:t>
      </w:r>
      <w:r>
        <w:rPr>
          <w:rFonts w:ascii="Times New Roman" w:hAnsi="Times New Roman" w:cs="Times New Roman"/>
          <w:color w:val="000000"/>
        </w:rPr>
        <w:t xml:space="preserve">[1973] EA 207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889"/>
    <w:rsid w:val="0021070D"/>
    <w:rsid w:val="005F0D49"/>
    <w:rsid w:val="006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A39FF-C457-4349-B18F-B6D46AE9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2018-07-04T14:03:00Z</dcterms:created>
  <dcterms:modified xsi:type="dcterms:W3CDTF">2018-07-12T19:49:00Z</dcterms:modified>
</cp:coreProperties>
</file>