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Kawalya-Kagwa v Registrar of Titles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October 1974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38/1974 (4/75)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Ag P, Mustafa and Musoke JJA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Wambuzi, C.J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Mailo land – Applicant from Ghana – Whether member of indigenous African tribe or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community – Effect of mixed blood – Interpretation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Special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 xml:space="preserve">. 17),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2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Statute – Construction – Member of indigenous African tribe or community – Meaning –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Interpretation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Special Provisions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 xml:space="preserve">. 17),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2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892285" w:rsidRDefault="0060726E" w:rsidP="006072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read, </w:t>
      </w: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The appellant is the widow of the late</w:t>
      </w:r>
    </w:p>
    <w:p w:rsidR="0060726E" w:rsidRDefault="00892285" w:rsidP="00607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Michael Hamilton Kawalya-Kagwa, who was murdered on 9 September 1971. By his will, he appointed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the sole executrix of it and he left the whole of his estate to her. She applied to the High Court for,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was, on 11 July 1972, granted, probate of the will. She also claims to be the executrix, by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representation, of the will of Michael Kagwa’s father.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father was a member of the Gaa tribe of Ghana and her mother is a native of Britain.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is a citizen of Uganda.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applied to the Registrar of Titles, the present respondent, to be registered as proprietor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mailo lands of the late Michael Kagwa and his father, as such executrix, under s. 143 of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 of Titles Act (Cap. 205). The Registrar refused registration, on the ground that the appellant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non-African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therefore needed the consent of the Minister under the provisions of the Land Transfer Act (Cap.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202), which, subject to certain qualifications, prohibits any non-African from occupying or entering into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any land of which an African is registered as proprietor without such consent.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then asked the Registrar if he would register transfers executed by her in her capacity as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executrix and again he refused.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then took out an originating summons under O. 34 of the Civil Procedure Rules, calling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Registrar, under s. 190 of the Registration of Titles Act, to substantiate and uphold the grounds of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refusal. The matter was heard by the Chief Justice, who upheld the decision of the Registrar on both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issues. It is against the decision of the Chief Justice on the first issue that this appeal is brought.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the Chief Justice’s decision was that the meaning of the word “African” in the Land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Act, which itself contains no definition, is to be found in s. 2 of the Interpretation (Special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Provisions) Act (Cap. 17). This, so far as is relevant, reads as follows: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any Act of Parliament or Ordinance enacted before the 19th July, 1963, unless it is expressly provided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or the context otherwise requires, references to a native or to an African shall be construed as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references to a person who is a member of an indigenous African tribe or community . . .”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affidavit supporting the originating summons, the appellant had claimed that she was of indigenous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African descent, her father having been a member of the Gaa tribe, and that she would be recognised as 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that tribe or community. In the High Court, Mr. Katera, for the appellant, argued that by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 the appellant was an African by virtue of her father’s membership of the Gaa tribe. On this,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 made two findings. The first, with which I respectfully agree, was that customary law must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proved. The second, was that where “as in this case” customary law is in conflict with a written law,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customary law is out”. I agree with the general proposition but, with respect, I do not see where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any conflict in the present proceedings. I shall return to this question.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examined the history of the definition of “African” from the definition of “native”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Interpretation (Definition of “Native”) Ordinance 1945 through the Interpretation and General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Clauses Ordinance (Cap. 1, Revised Edition, 1951) to the Interpretation (Special Provisions) Act.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earlier definitions are substantially similar and it will suffice to set out the relevant part of the 1951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Ordinance. This reads: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“3. (1) In this Ordinance and in every other Ordinance, unless there is something in the subject or context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inconsistent with such construction or unless it is therein otherwise expressly provided, each of the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terms ‘African’ and ‘native’ means any person who is a member of or one of whose parents is or was a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 of an indigenous African tribe or community, but the term ‘African’ or ‘native’ shall not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include–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n Egyptian, an Arab, an Abyssinian (Amhara, Tigre and Shoa), a Somali, a Seychellois, a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Baluchi born in Africa, a Malagasy or a Comoro Islander: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Provided that any of the said persons may be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declared an ‘African’ by a magistrate of the first or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second class if, of his own motion, he proves to the satisfaction of the magistrate that he is living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among members of any indigenous African tribe or community in accordance with their customary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mode of life.”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noted two differences between the earlier definitions and the current one. In the first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place, the earlier definitions contain the words “one of whose parents is or was a member of an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indigenous African tribe or community” while they are omitted from the current definition. Secondly,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definitions expressly excluded certain categories of persons; the current definition has no such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 exclusions.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held that the first of these differences means that under the current definition 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may only claim to be an African if both his parents were Africans. He said: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give any other construction to the definition would be to defeat the intention of the legislation which in its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wisdom chose to drop the words which included in the definition of the word ‘African’ a person one of whose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parents was a member of an indigenous African tribe or community and the other not such a member.”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Secondly, he held that the fact that no categories of persons are expressly excluded from the current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“means that . . . any person on the continent of Africa is an African provided that he is a member of an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indigenous African tribe or community.”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first of these points, I accept that where one statute replaces another and in the process certain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are omitted, there will normally be an assumption that the omission was deliberate and the new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will be interpreted accordingly. In making such an assumption, however, regard must be had to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result to which it would lead. In the present case, the effect would be considerable and very grave.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former law, persons of mixed parentage could lawfully acquire, occupy and devise land to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children. If the interpretation of the Chief Justice is correct, it would appear that on the coming into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operation, on 6 December 1963, of the Interpretation (Special Provisions) Act, any persons who had so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acquired and occupied land became in unlawful possession of it and certainly they would thenceforward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unable, without the consent of the Minister, to devise it to their children. There is, of course,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saving provision. This would be a very serious invasion and deprivation of private rights. It is, of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course, within the power of the legislature to make such a change by express enactment but, with respect,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not prepared to infer it, if any other interpretation is possible. I think an alternative interpretation is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available. The former definitions were complicated, with the references to parents importing the matter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blood and the references of membership of a tribe or community importing a matter of status; that is,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course, assuming that membership of a tribe or community is not a question of blood alone.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definition is simpler and does not necessarily involve the question of parentage. I think it may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to achieve that end that the present wording was adopted.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know of no authority on this question. In </w:t>
      </w:r>
      <w:r>
        <w:rPr>
          <w:rFonts w:ascii="Times New Roman" w:hAnsi="Times New Roman" w:cs="Times New Roman"/>
          <w:i/>
          <w:iCs/>
          <w:color w:val="000000"/>
        </w:rPr>
        <w:t xml:space="preserve">Katate v. Nyakatukura </w:t>
      </w:r>
      <w:r>
        <w:rPr>
          <w:rFonts w:ascii="Times New Roman" w:hAnsi="Times New Roman" w:cs="Times New Roman"/>
          <w:color w:val="000000"/>
        </w:rPr>
        <w:t>(1953), 7 U.L.R. 47, Bennett, J.,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a limited liability company could not be an “African” because: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“Being a distinct legal entity and abstract in nature, it is not, in my opinion, capable of having racial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attributes.”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respectfully agree, but it could equally have been said that a company cannot be a member of a tribe or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community.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brings me to a point strongly urged by Mr. Wilkinson, who appeared for the appellant. He argued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legislature has chosen to use both the words “tribe” and “community”, that they must have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meanings and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latter word is more general in its meaning. I think there is considerable merit in this argument.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link it with the larger question: what is meant by the expression “indigenous African tribe or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community”? As I have said, the Chief Justice applied the expression to tribes and communities in any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Africa. He also remarked: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not disputed that the Gaa tribe of Accra in Ghana is an indigenous African tribe.”</w:t>
      </w:r>
      <w:r w:rsidR="006072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 it is questionable whether the word “indigenous” is strictly appropriate to a tribe or community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it is, I think, used in a general sense as meaning born in or springing from the soil of a particular area.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If, if, in the present context, the particular area is regarded as the continent of Africa, the words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“indigenous” and “African” appear synonymous and one or other is redundant. We are, however,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with a Uganda statute and it seems to me that it would be reasonable and logical to interpret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“indigenous” as “indigenous to Uganda”.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 such an interpretation is ruled out by the fact, stressed by the Chief Justice, that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definition of “African” contains none of the express exceptions contained in the earlier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definitions. Looked at in the general context of the African continent, those exceptions seem to be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meaningless. For example, one of the exceptions in the 1951 Ordinance is an Egyptian, but Algerians are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excepted. I can see no logical reason for saying that an Algerian is an African but an Egyptian is not.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the explanation is to be found by looking more closely at the exceptions. Arabs, Abyssinians,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Somalis, Seychellois, Baluchis, Malagasies and Comoro Islanders are all </w:t>
      </w:r>
      <w:r>
        <w:rPr>
          <w:rFonts w:ascii="Times New Roman" w:hAnsi="Times New Roman" w:cs="Times New Roman"/>
          <w:color w:val="000000"/>
        </w:rPr>
        <w:lastRenderedPageBreak/>
        <w:t>present in East Africa and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might be said to constitute communities. Individuals of any of those communities, while excluded from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definition of “African”, could, under the earlier definitions, be treated as Africans if they lived among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an indigenous African tribe or community in accordance with their customary way of life.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example, a group of Abyssinians living in Uganda could not be treated as Africans by virtue of their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constituting a community but an individual Abyssinian living among a local community in Karamoja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be declared an African. This, I think, clearly shows that under the earlier definitions “indigenous”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meant indigenous to Uganda and not merely to Africa. Egyptians were not excluded in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1945 definition and I do not know why they were mentioned in the 1951 Ordinance: I do not know of any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number of Egyptians in East Africa, but there may be or there may have been.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the earlier definitions were intended to cover people living in Uganda: the indigenous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tribes and communities were, so to speak, African as of right and certain other individuals might be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treated as Africans. The “exceptions” were not so much aimed at excluding specified categories of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as allowing persons who were not Uganda Africans to be treated as such.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If, as I believe, “indigenous African tribe or community” in the earlier definitions was intended to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 “African tribe or community indigenous to Uganda”, I see no reason to suppose that the words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used in any different sense in the current definition.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question to be decided is: what is membership of a tribe or community. Obviously a person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of whose parents are Baganda is a Muganda but whether a person whose father was a Muganda and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mother, say, an Indian is or is not a Muganda seems to me a matter of the customary law of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Baganda. On such questions, the customary laws of different tribes may well vary considerably.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“Community” is, I think, a much looser term than “ tribe”. I think a community might be based on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nationality, or language, or religion, or race, or indeed any factor which causes people to associate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together. For example,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Egyptians in Uganda, assuming that there are some, could not be regarded as a tribe but might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 a community. The test of membership of a community would, I think, be twofold: first, the fact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association and, secondly, the acceptance of the individual as a member by the rest of the community.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these views to the present case, I agree with the Chief Justice that the appellant was not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be regarded as a member of an indigenous African tribe by virtue of her parentage, but for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reasons. I agree that she failed to prove that the customary law of the Gaa tribe would recognise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as a member of that tribe, but I do not regard the Gaa tribe as an “indigenous African tribe” for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of the Land Transfer Act. I think that expression relates only to the tribes of Uganda.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mention appears to have been made in the High Court of the Buganda laws and we thought it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to raise this of our own motion. Mr. Matovu, who appeared for the Registrar, summarised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most helpfully. In the first place, the Constitution, by article 126 (1), expressly preserves “the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 of mailo land tenure”. Secondly, the Local Administration Act 1967, by s. 100 (4), preserves all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made by the former Kingdoms and subs. (6) of that section provides that where by virtue of any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existing law any duty or power is conferred upon any person or authority which has by law or otherwise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unable to perform or exercise it, the Minister responsible may, by statutory instrument, provide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its performance or exercise by such person or authority as he may think fit. The power has been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by the Minister, who, by S.I. 1967 No. 150, directed that the power vested in the President and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Lukiiko to give approval under paras.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s. 2 of the Possession of Land Law and the power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vested in the Katikiro, the Omulamuzi and the Omuwanika of Buganda to sign instruments of transfer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other documents under s. 5 of that law should be exercised by the Minister responsible for Mineral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Water Resources, and the power vested in the Lukiiko by s. 2 of the Land Succession Law to issue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of succession should be exercised by the Administrator-General. Mr. Matovu therefore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and I would agree, that the Buganda laws relating to mailo are still in force and effective.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Matovu also submitted that, when dealing with mailo land, the provisions of the Buganda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Land Law and those of the Land Transfer Act should be read together. Again, with respect,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agree. The relevant provision of the Possession of Land Law is s.2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which forbids the owner of 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mailo willing it to “a man who is not of the protectorate”. We heard some argument on the meaning of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words. Mr. Matovu submitted that they should be regarded as equivalent to “a member of an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indigenous African tribe or community”. Mr. Wilkinson Contended that in the context of changed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they should be interpreted as meaning “a citizen of Uganda” and he pointed out that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is a citizen of Uganda. I would, with respect, reject Mr. Wilkinson’s submission. I accept, </w:t>
      </w:r>
      <w:r>
        <w:rPr>
          <w:rFonts w:ascii="Times New Roman" w:hAnsi="Times New Roman" w:cs="Times New Roman"/>
          <w:color w:val="000000"/>
        </w:rPr>
        <w:lastRenderedPageBreak/>
        <w:t>as 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proposition, that a court interpreting a statute must do so in terms of current realities. Citizenship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exist in 1908 when the Possession of Land Law was enacted. The constitutional and political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today is entirely different. But for over sixty years, the words “man of the Protectorate” have, so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far as I am aware, been interpreted as “Uganda African”. In those circumstances, I think any change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brought about by the legislature and not by the judiciary, because matters of policy are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involved. This is particularly so, since there is another statute in existence, the Land Transfer Act, which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restricts the transfer of land to or its occupation by non-Africans.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basis, again, I think it is quite clear that the appellant could not properly obtain registration as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proprietor of mailo land on the basis that she is a member of the Gaa tribe.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appeal, Mr. Wilkinson took a different course. He argued that the appellant,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possibly not a member of the tribe of the Baganda, had become a member of the Baganda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community, by virtue of her marriage to the late Michael Kagwa. He referred to her having borne his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children, living in his house on his ancestral lands and mingling freely with her Baganda neighbours. Mr.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Matovu replied that this claim had never been advanced in the High Court, never considered by the Chief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and was supported by no evidence. The appellant’s, case had been clearly and exclusively that she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 African by virtue of membership of the Gaa tribe.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Mr. Matovu’s objection is irresistible and that this appeal must fail. I say this with great regret,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 think that if proper evidence had been adduced to establish the facts, particularly the way of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life of the appellant and her acceptance, if she is accepted, as a member of the Baganda community, it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might well have been held that she is an African for the purposes of the Land Transfer Act and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Land Law. Such evidence might well have come partly from the appellant herself and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partly from some Muganda occupying a position of respect and responsibility. It is not open to us to hold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is an African without any evidence on which to rely. No application was made at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for leave to adduce evidence and it would not be proper for us at this stage to order it. We are not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in this appeal with the status of the appellant’s children, and I will only remark that, on the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views I have expressed, it may well be that they could establish entitlement to be regarded as Africans.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dismiss the appeal. Counsel agreed that the costs should be paid out of the estate and I would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order.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other members of the court agree, there will be an order accordingly.</w:t>
      </w:r>
      <w:r w:rsidR="0060726E">
        <w:rPr>
          <w:rFonts w:ascii="Times New Roman" w:hAnsi="Times New Roman" w:cs="Times New Roman"/>
          <w:color w:val="000000"/>
        </w:rPr>
        <w:t xml:space="preserve"> </w:t>
      </w:r>
    </w:p>
    <w:p w:rsidR="0060726E" w:rsidRDefault="00892285" w:rsidP="00607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read the judgment prepared by Spry, Ag. P. I am in entire agreement with its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reasoning and conclusion and have nothing useful to add.</w:t>
      </w:r>
      <w:r w:rsidR="0060726E">
        <w:rPr>
          <w:rFonts w:ascii="Times New Roman" w:hAnsi="Times New Roman" w:cs="Times New Roman"/>
          <w:color w:val="000000"/>
        </w:rPr>
        <w:t xml:space="preserve"> </w:t>
      </w:r>
    </w:p>
    <w:p w:rsidR="00892285" w:rsidRDefault="00892285" w:rsidP="00607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Musoke JA: </w:t>
      </w:r>
      <w:r>
        <w:rPr>
          <w:rFonts w:ascii="Times New Roman" w:hAnsi="Times New Roman" w:cs="Times New Roman"/>
          <w:color w:val="000000"/>
        </w:rPr>
        <w:t>I have had the advantage of reading in draft the judgment prepared by Spry, Ag. P. I agree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it and have nothing useful to add.</w:t>
      </w:r>
      <w:r w:rsidR="006072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dismissed.</w:t>
      </w:r>
      <w:r w:rsidR="006072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PJ Wilkinson QC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J Kateera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Hunter &amp; Greig</w:t>
      </w:r>
      <w:r>
        <w:rPr>
          <w:rFonts w:ascii="Times New Roman" w:hAnsi="Times New Roman" w:cs="Times New Roman"/>
          <w:color w:val="000000"/>
        </w:rPr>
        <w:t>, Kampala)</w:t>
      </w:r>
    </w:p>
    <w:p w:rsidR="00892285" w:rsidRDefault="00892285" w:rsidP="00892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892285" w:rsidP="00892285">
      <w:r>
        <w:rPr>
          <w:rFonts w:ascii="Times New Roman" w:hAnsi="Times New Roman" w:cs="Times New Roman"/>
          <w:i/>
          <w:iCs/>
          <w:color w:val="000000"/>
        </w:rPr>
        <w:t xml:space="preserve">MB Matovu </w:t>
      </w:r>
      <w:r>
        <w:rPr>
          <w:rFonts w:ascii="Times New Roman" w:hAnsi="Times New Roman" w:cs="Times New Roman"/>
          <w:color w:val="000000"/>
        </w:rPr>
        <w:t xml:space="preserve">(Solicitor-General), </w:t>
      </w:r>
      <w:r>
        <w:rPr>
          <w:rFonts w:ascii="Times New Roman" w:hAnsi="Times New Roman" w:cs="Times New Roman"/>
          <w:i/>
          <w:iCs/>
          <w:color w:val="000000"/>
        </w:rPr>
        <w:t xml:space="preserve">Y Kagumire </w:t>
      </w:r>
      <w:r>
        <w:rPr>
          <w:rFonts w:ascii="Times New Roman" w:hAnsi="Times New Roman" w:cs="Times New Roman"/>
          <w:color w:val="000000"/>
        </w:rPr>
        <w:t xml:space="preserve">(Chief Registrar of Titles) and </w:t>
      </w:r>
      <w:r>
        <w:rPr>
          <w:rFonts w:ascii="Times New Roman" w:hAnsi="Times New Roman" w:cs="Times New Roman"/>
          <w:i/>
          <w:iCs/>
          <w:color w:val="000000"/>
        </w:rPr>
        <w:t xml:space="preserve">P Nsibirwa </w:t>
      </w:r>
      <w:r>
        <w:rPr>
          <w:rFonts w:ascii="Times New Roman" w:hAnsi="Times New Roman" w:cs="Times New Roman"/>
          <w:color w:val="000000"/>
        </w:rPr>
        <w:t>(State Attorney)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85"/>
    <w:rsid w:val="0060726E"/>
    <w:rsid w:val="00892285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3F676-E82B-4A3C-8D3C-2FE3D327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2018-07-06T12:35:00Z</dcterms:created>
  <dcterms:modified xsi:type="dcterms:W3CDTF">2018-07-12T19:52:00Z</dcterms:modified>
</cp:coreProperties>
</file>