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Kenindia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Assurance Company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Kamithi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May 2004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94/04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law – Material facts – Non-disclosure, concealment or misrepresentation thereof –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contract of insurance automatically avoided or voidable – Delay in repudiating – Whether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insurer’s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right to avoid or repudiate vitiated.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Insurance – Premiums – Life policy – Obligation to pay premiums – Waiver and estoppel – Whether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payment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premiums on a life policy after death of insured could operate as a waiver and estoppel on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insurer.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65ED3" w:rsidRDefault="005C480C" w:rsidP="00965E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first respondent and her husband, Stephen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>, took out a joint life assurance policy with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(</w:t>
      </w:r>
      <w:proofErr w:type="spellStart"/>
      <w:r>
        <w:rPr>
          <w:rFonts w:ascii="Times New Roman" w:hAnsi="Times New Roman" w:cs="Times New Roman"/>
          <w:color w:val="000000"/>
        </w:rPr>
        <w:t>Kenindia</w:t>
      </w:r>
      <w:proofErr w:type="spellEnd"/>
      <w:r>
        <w:rPr>
          <w:rFonts w:ascii="Times New Roman" w:hAnsi="Times New Roman" w:cs="Times New Roman"/>
          <w:color w:val="000000"/>
        </w:rPr>
        <w:t>). In the proposal form, the first respondent and her husband stated that the husband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have a usual medical attendant; that no illness, accident or medical condition had prevented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husband from carrying out his work due to such condition in the last five years and that no other life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assurance was then in force over the deceased’s life. The husband and wife were referred to two doctors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appellant who, on examination, revealed that the husband had a heart condition. As a result of this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relation, premiums payable were increased.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issued a joint life policy on the strength of the proposal form and declaration signed by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husband and wife for an assured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million. It was a term of the contract of insurance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if any untrue averment was contained in the proposal or declaration, the contract of insurance would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null and void and all monies which should have been paid in respect of the contract would stand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forfeited to the appellant.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husband passed away five months after entry into force of the contract of assurance and the wife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notified the appellant. She also made a claim in her capacity as a beneficiary as well as an insured.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wife was interviewed and recorded a statement with the appellant’s investigator. In the statement she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disclosed that the deceased had a private doctor, who had referred the deceased to South Africa for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medical treatment. She also disclosed that the deceased had previously been admitted to Nairobi Hospital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pneumonia for which he was treated and discharged. She further disclosed that the deceased had two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life policies with different insurers.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wrote to the first respondent that it had discovered gross non-disclosure of material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on the proposal form and the claim therefore stood repudiated. The first respondent had continued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pay premiums after the deceased’s death which amount was refunded by the appellant. No refund of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premiums paid up to the time of the demise of the deceased were paid. After the appellant declined to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 the claim, the first respondent and her son, the second respondent who had jointly obtained a grant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letters of administration to the estate of the deceased, filed a suit in the High Court for recovery of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 assured.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found that there was the clearest evidence of non-disclosure of material facts by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and that the appellant was entitled to repudiate the policy at the time it became aware of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true position regarding the information received from the deceased. The Judge further found that in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case, the appellant had, however, lost its right to repudiate the policy as it did not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 within a reasonable time of becoming aware of the non-disclosures and untruths but on the contrary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 to accept premiums from the first respondent. The Judge held for the plaintiffs and awarded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them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million.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Appeal.</w:t>
      </w:r>
      <w:r w:rsidR="00965ED3">
        <w:rPr>
          <w:rFonts w:ascii="Times New Roman" w:hAnsi="Times New Roman" w:cs="Times New Roman"/>
          <w:color w:val="000000"/>
        </w:rPr>
        <w:t xml:space="preserve"> </w:t>
      </w:r>
    </w:p>
    <w:p w:rsidR="00965ED3" w:rsidRDefault="00965ED3" w:rsidP="00965E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65ED3" w:rsidRDefault="005C480C" w:rsidP="00965E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Non-disclosure or concealment or misrepresentation of material facts did not have the effect of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automatically voiding a contract of insurance, but its effect was to make the contract voidable at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 of the insurer. If and when an insurer became possessed of all the facts entitling him to avoid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repudiate the policy for reason of non-disclosure, concealment or misrepresentation of material facts,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would be entitled to elect to avoid or affirm the contract at once, or to have a reasonable time to weigh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options. If </w:t>
      </w:r>
      <w:r>
        <w:rPr>
          <w:rFonts w:ascii="Times New Roman" w:hAnsi="Times New Roman" w:cs="Times New Roman"/>
          <w:color w:val="000000"/>
        </w:rPr>
        <w:lastRenderedPageBreak/>
        <w:t xml:space="preserve">he opted to delay his election, the delay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r>
        <w:rPr>
          <w:rFonts w:ascii="Times New Roman" w:hAnsi="Times New Roman" w:cs="Times New Roman"/>
          <w:color w:val="000000"/>
        </w:rPr>
        <w:t>would not have the effect of vitiating his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avoid or repudiate the contract. The delay would only be prejudicial to his rights if it had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prejudiced the assured or the rights of third parties who had intervened as a result thereof, or it was of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a length as to be evidence that the insurer had in truth decided to accept liability. </w:t>
      </w:r>
      <w:r>
        <w:rPr>
          <w:rFonts w:ascii="Times New Roman" w:hAnsi="Times New Roman" w:cs="Times New Roman"/>
          <w:i/>
          <w:iCs/>
          <w:color w:val="000000"/>
        </w:rPr>
        <w:t>Allen v Robles</w:t>
      </w:r>
      <w:r w:rsidR="00965ED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[1969] 1 WLR 1193; </w:t>
      </w:r>
      <w:r>
        <w:rPr>
          <w:rFonts w:ascii="Times New Roman" w:hAnsi="Times New Roman" w:cs="Times New Roman"/>
          <w:i/>
          <w:iCs/>
          <w:color w:val="000000"/>
        </w:rPr>
        <w:t xml:space="preserve">South British Insurance Company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Samiullah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[1967] EA 659 considered.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had erred in finding that the appellant had lost its right to repudiate the policy when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learning of the concealed information it had failed to repudiate immediately. The appellant was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a reasonable time to weigh his options and delay in doing so did not and could not lose him his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repudiate.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policy in question was a joint life policy, the obligation to pay premiums ceased on date of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maturity or the death of the assured whichever came first. The obligation to pay premiums in the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 ceased on 11 April 1999 when the deceased (one of the joint lives insured)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died. In those circumstances the continuing cover under the policy came to an end and the premiums paid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were inconsequential to the rights and obligations under the policy. Where there was no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 to pay premiums, it can never be the case that payment thereof could operate as a waiver or an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estoppel on the right to repudiate a policy obtained through non-disclosure, concealment or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 of material facts. A waiver and estoppel could only operate on a continuing policy.</w:t>
      </w:r>
      <w:r w:rsidR="00965E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  <w:r w:rsidR="00965ED3">
        <w:rPr>
          <w:rFonts w:ascii="Times New Roman" w:hAnsi="Times New Roman" w:cs="Times New Roman"/>
          <w:color w:val="000000"/>
        </w:rPr>
        <w:t xml:space="preserve"> </w:t>
      </w:r>
    </w:p>
    <w:p w:rsidR="00965ED3" w:rsidRDefault="00965ED3" w:rsidP="00965E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C480C" w:rsidRDefault="005C480C" w:rsidP="00965E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Note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case has overturned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Kenindia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Assurance Co </w:t>
      </w:r>
      <w:r>
        <w:rPr>
          <w:rFonts w:ascii="Times New Roman" w:hAnsi="Times New Roman" w:cs="Times New Roman"/>
          <w:color w:val="000000"/>
        </w:rPr>
        <w:t>[2001] 2 EA 394.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South British Insurance Company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Samiullah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[1967] EA 659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Allen v Robles </w:t>
      </w:r>
      <w:r>
        <w:rPr>
          <w:rFonts w:ascii="Times New Roman" w:hAnsi="Times New Roman" w:cs="Times New Roman"/>
          <w:color w:val="000000"/>
        </w:rPr>
        <w:t xml:space="preserve">[1969] 1 WLR 1193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Ayrey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British Legal and United Provident Assurance Co </w:t>
      </w:r>
      <w:r>
        <w:rPr>
          <w:rFonts w:ascii="Times New Roman" w:hAnsi="Times New Roman" w:cs="Times New Roman"/>
          <w:color w:val="000000"/>
        </w:rPr>
        <w:t xml:space="preserve">[1918] 1 KB 136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5C480C" w:rsidRDefault="005C480C" w:rsidP="005C4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Clough v London and North Western Railway Co </w:t>
      </w:r>
      <w:r>
        <w:rPr>
          <w:rFonts w:ascii="Times New Roman" w:hAnsi="Times New Roman" w:cs="Times New Roman"/>
          <w:color w:val="000000"/>
        </w:rPr>
        <w:t xml:space="preserve">[1871] LR 7 – </w:t>
      </w:r>
      <w:r>
        <w:rPr>
          <w:rFonts w:ascii="Times New Roman" w:hAnsi="Times New Roman" w:cs="Times New Roman"/>
          <w:b/>
          <w:bCs/>
          <w:color w:val="000000"/>
        </w:rPr>
        <w:t>C</w:t>
      </w:r>
      <w:bookmarkStart w:id="0" w:name="_GoBack"/>
      <w:bookmarkEnd w:id="0"/>
    </w:p>
    <w:sectPr w:rsidR="005C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0C"/>
    <w:rsid w:val="005C480C"/>
    <w:rsid w:val="00965ED3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7A294-8C44-4818-B746-BB3F00A7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2018-07-03T14:04:00Z</dcterms:created>
  <dcterms:modified xsi:type="dcterms:W3CDTF">2018-07-12T19:55:00Z</dcterms:modified>
</cp:coreProperties>
</file>