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Breweries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Kiambu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General Transport Agency Ltd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398 (CAK)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August 2000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9/00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Variation of terms – Estoppel – Whether subsequent letter varied terms of written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No consideration – Whether subsequent letter would found cause of action.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give business efficacy to the contract.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Sons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Timber</w:t>
      </w:r>
    </w:p>
    <w:p w:rsidR="00645BD0" w:rsidRDefault="00047AEE" w:rsidP="0064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Co-operative Society </w:t>
      </w:r>
      <w:r>
        <w:rPr>
          <w:rFonts w:ascii="Times New Roman" w:hAnsi="Times New Roman" w:cs="Times New Roman"/>
          <w:color w:val="000000"/>
        </w:rPr>
        <w:t xml:space="preserve">[1987] </w:t>
      </w:r>
      <w:r w:rsidR="00645BD0">
        <w:rPr>
          <w:rFonts w:ascii="Times New Roman" w:hAnsi="Times New Roman" w:cs="Times New Roman"/>
          <w:color w:val="000000"/>
        </w:rPr>
        <w:t xml:space="preserve">In June 1980 the Respondent, </w:t>
      </w:r>
      <w:proofErr w:type="spellStart"/>
      <w:r w:rsidR="00645BD0">
        <w:rPr>
          <w:rFonts w:ascii="Times New Roman" w:hAnsi="Times New Roman" w:cs="Times New Roman"/>
          <w:color w:val="000000"/>
        </w:rPr>
        <w:t>Kiambu</w:t>
      </w:r>
      <w:proofErr w:type="spellEnd"/>
      <w:r w:rsidR="00645BD0">
        <w:rPr>
          <w:rFonts w:ascii="Times New Roman" w:hAnsi="Times New Roman" w:cs="Times New Roman"/>
          <w:color w:val="000000"/>
        </w:rPr>
        <w:t xml:space="preserve"> General Transport Agency Ltd, was appointed a wholesale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distributor of beer by the Appellant, Kenya Breweries Ltd The letter, which the Respondent accepted and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signed, provided that the contract was terminable by twelve months’ notice given by either party. Three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months later in October 1980 the managing director of the Applicant wrote a letter to the Respondent,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wherein a ten-year termination notice was suggested to be a reasonable one. Subsequently, the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Respondent was prevailed upon to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sign a fresh letter of appointment dated July 1996 by which the termination period of the agreement was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stated to be three months. In March 1997, pursuant to the latter distribution agreement, the Applicant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gave the Respondent a three-month termination notice, as a result of which the distributorship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arrangement was terminated.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The Respondent then brought this suit in the superior court claiming that the above termination was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unlawful and was done in breach of contract. It claimed general and special damages for breach. The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Respondent’s case was that the letter of 1980 specified a ten-year termination notice. Further, that the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agreement of 1996 was procured by undue influence. The High Court judge accepted these submissions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 xml:space="preserve">and found that the letter of 1980 acted as an estoppel. She awarded damages of </w:t>
      </w:r>
      <w:proofErr w:type="spellStart"/>
      <w:r w:rsidR="00645BD0">
        <w:rPr>
          <w:rFonts w:ascii="Times New Roman" w:hAnsi="Times New Roman" w:cs="Times New Roman"/>
          <w:color w:val="000000"/>
        </w:rPr>
        <w:t>KShs</w:t>
      </w:r>
      <w:proofErr w:type="spellEnd"/>
      <w:r w:rsidR="00645BD0">
        <w:rPr>
          <w:rFonts w:ascii="Times New Roman" w:hAnsi="Times New Roman" w:cs="Times New Roman"/>
          <w:color w:val="000000"/>
        </w:rPr>
        <w:t xml:space="preserve"> 71 million for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 xml:space="preserve">winding-up costs and </w:t>
      </w:r>
      <w:proofErr w:type="spellStart"/>
      <w:r w:rsidR="00645BD0">
        <w:rPr>
          <w:rFonts w:ascii="Times New Roman" w:hAnsi="Times New Roman" w:cs="Times New Roman"/>
          <w:color w:val="000000"/>
        </w:rPr>
        <w:t>KShs</w:t>
      </w:r>
      <w:proofErr w:type="spellEnd"/>
      <w:r w:rsidR="00645BD0">
        <w:rPr>
          <w:rFonts w:ascii="Times New Roman" w:hAnsi="Times New Roman" w:cs="Times New Roman"/>
          <w:color w:val="000000"/>
        </w:rPr>
        <w:t xml:space="preserve"> 169 million for loss of profits.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On appeal, it was contended for the Applicant that the letter of 1980 did not vary the terms of the</w:t>
      </w:r>
      <w:r w:rsidR="00645BD0">
        <w:rPr>
          <w:rFonts w:ascii="Times New Roman" w:hAnsi="Times New Roman" w:cs="Times New Roman"/>
          <w:color w:val="000000"/>
        </w:rPr>
        <w:t xml:space="preserve"> </w:t>
      </w:r>
      <w:r w:rsidR="00645BD0">
        <w:rPr>
          <w:rFonts w:ascii="Times New Roman" w:hAnsi="Times New Roman" w:cs="Times New Roman"/>
          <w:color w:val="000000"/>
        </w:rPr>
        <w:t>earlier contract, let alone affect the subsequent agreement.</w:t>
      </w:r>
      <w:r w:rsidR="00645BD0">
        <w:rPr>
          <w:rFonts w:ascii="Times New Roman" w:hAnsi="Times New Roman" w:cs="Times New Roman"/>
          <w:color w:val="000000"/>
        </w:rPr>
        <w:t xml:space="preserve"> </w:t>
      </w:r>
    </w:p>
    <w:p w:rsidR="00645BD0" w:rsidRDefault="00645BD0" w:rsidP="0064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47AEE" w:rsidRDefault="00645BD0" w:rsidP="00645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(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JA dissenting) Variation of an existing contract involves an alteration as a matter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of the contractual relations between the parties. The variation must be supported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consideration and the parties must be </w:t>
      </w:r>
      <w:r>
        <w:rPr>
          <w:rFonts w:ascii="Times New Roman" w:hAnsi="Times New Roman" w:cs="Times New Roman"/>
          <w:i/>
          <w:iCs/>
          <w:color w:val="000000"/>
        </w:rPr>
        <w:t>ad idem</w:t>
      </w:r>
      <w:r>
        <w:rPr>
          <w:rFonts w:ascii="Times New Roman" w:hAnsi="Times New Roman" w:cs="Times New Roman"/>
          <w:color w:val="000000"/>
        </w:rPr>
        <w:t xml:space="preserve">. If the agreement is mere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nudum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pactum</w:t>
      </w:r>
      <w:proofErr w:type="spellEnd"/>
      <w:r>
        <w:rPr>
          <w:rFonts w:ascii="Times New Roman" w:hAnsi="Times New Roman" w:cs="Times New Roman"/>
          <w:color w:val="000000"/>
        </w:rPr>
        <w:t>, it would give no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for breach particularly if its effect was to give a voluntary indulgence to the other party.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Vanbergen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 Edmunds </w:t>
      </w:r>
      <w:r>
        <w:rPr>
          <w:rFonts w:ascii="Times New Roman" w:hAnsi="Times New Roman" w:cs="Times New Roman"/>
          <w:color w:val="000000"/>
        </w:rPr>
        <w:t>[1933] 2 KB 223 followed.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evidence, the letter of 1980 was not intended to vary the terms of the contract.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A written contract cannot be amended by an implied stipulation unless it can be said to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mutually intended and necessary </w:t>
      </w:r>
      <w:r w:rsidR="00047AEE">
        <w:rPr>
          <w:rFonts w:ascii="Times New Roman" w:hAnsi="Times New Roman" w:cs="Times New Roman"/>
          <w:color w:val="000000"/>
        </w:rPr>
        <w:t>LLR 1512 (CAK) adopted.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Sons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Timber Co-operative Society Ltd </w:t>
      </w:r>
      <w:r>
        <w:rPr>
          <w:rFonts w:ascii="Times New Roman" w:hAnsi="Times New Roman" w:cs="Times New Roman"/>
          <w:color w:val="000000"/>
        </w:rPr>
        <w:t xml:space="preserve">[1987] LLR 1512 (CAK)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Nairobi City Council </w:t>
      </w:r>
      <w:r>
        <w:rPr>
          <w:rFonts w:ascii="Times New Roman" w:hAnsi="Times New Roman" w:cs="Times New Roman"/>
          <w:color w:val="000000"/>
        </w:rPr>
        <w:t>[1976] KLR 297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Peters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Sunday Post Ltd </w:t>
      </w:r>
      <w:r>
        <w:rPr>
          <w:rFonts w:ascii="Times New Roman" w:hAnsi="Times New Roman" w:cs="Times New Roman"/>
          <w:color w:val="000000"/>
        </w:rPr>
        <w:t>[1958] EA 424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Carter v Hyde Park Hotel Ltd </w:t>
      </w:r>
      <w:r>
        <w:rPr>
          <w:rFonts w:ascii="Times New Roman" w:hAnsi="Times New Roman" w:cs="Times New Roman"/>
          <w:color w:val="000000"/>
        </w:rPr>
        <w:t>[1948] 64 TR 177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Central London Property Trust Ltd v High Trees House Ltd </w:t>
      </w:r>
      <w:r>
        <w:rPr>
          <w:rFonts w:ascii="Times New Roman" w:hAnsi="Times New Roman" w:cs="Times New Roman"/>
          <w:color w:val="000000"/>
        </w:rPr>
        <w:t>[1956] 1 All ER 256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Singh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Pirbhai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[1951] AC 688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Tool Metal Manufacturing Co Ltd v Tungsten Electric Co Ltd </w:t>
      </w:r>
      <w:r>
        <w:rPr>
          <w:rFonts w:ascii="Times New Roman" w:hAnsi="Times New Roman" w:cs="Times New Roman"/>
          <w:color w:val="000000"/>
        </w:rPr>
        <w:t>[1954] 2 All ER 28</w:t>
      </w:r>
    </w:p>
    <w:p w:rsidR="00047AEE" w:rsidRDefault="00047AEE" w:rsidP="00047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Vanbergen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 Edmunds Ltd </w:t>
      </w:r>
      <w:r>
        <w:rPr>
          <w:rFonts w:ascii="Times New Roman" w:hAnsi="Times New Roman" w:cs="Times New Roman"/>
          <w:color w:val="000000"/>
        </w:rPr>
        <w:t xml:space="preserve">[1933] 2 KB 223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F18BF" w:rsidRDefault="00047AEE" w:rsidP="00047AEE">
      <w:r>
        <w:rPr>
          <w:rFonts w:ascii="Times New Roman" w:hAnsi="Times New Roman" w:cs="Times New Roman"/>
          <w:color w:val="000080"/>
        </w:rPr>
        <w:t>Page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EE"/>
    <w:rsid w:val="00047AEE"/>
    <w:rsid w:val="003F18BF"/>
    <w:rsid w:val="006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CECC-E30F-4C85-AE1E-C34D78C6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2018-07-05T10:27:00Z</dcterms:created>
  <dcterms:modified xsi:type="dcterms:W3CDTF">2018-07-12T19:59:00Z</dcterms:modified>
</cp:coreProperties>
</file>