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506" w:rsidRDefault="003C52AD">
      <w:pPr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Kenya Breweries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Kiambu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General Transport Agency Ltd</w:t>
      </w:r>
      <w:r w:rsidR="00743506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</w:p>
    <w:p w:rsidR="00743506" w:rsidRDefault="003C52AD">
      <w:pPr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  <w:r w:rsidR="007435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11 August 2000</w:t>
      </w:r>
      <w:r w:rsidR="007435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9/00</w:t>
      </w:r>
      <w:r w:rsidR="007435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  <w:r w:rsidR="007435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  <w:r w:rsidR="0074350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  <w:r w:rsidR="007435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[1] Contract – Variation of terms – Estoppel – Whether subsequent letter varied terms of written</w:t>
      </w:r>
      <w:r w:rsidR="0074350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contract – No consideration – Whether subsequent letter would found cause of action.</w:t>
      </w:r>
      <w:r w:rsidR="00743506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743506" w:rsidRDefault="00743506">
      <w:pPr>
        <w:rPr>
          <w:rFonts w:ascii="Times New Roman" w:hAnsi="Times New Roman" w:cs="Times New Roman"/>
          <w:i/>
          <w:iCs/>
          <w:color w:val="000000"/>
        </w:rPr>
      </w:pPr>
    </w:p>
    <w:p w:rsidR="00743506" w:rsidRDefault="00743506" w:rsidP="00743506">
      <w:p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43506" w:rsidRDefault="0074350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3C52AD">
        <w:rPr>
          <w:rFonts w:ascii="Times New Roman" w:hAnsi="Times New Roman" w:cs="Times New Roman"/>
          <w:b/>
          <w:bCs/>
          <w:color w:val="000000"/>
        </w:rPr>
        <w:t xml:space="preserve">GICHERU JA: </w:t>
      </w:r>
      <w:r w:rsidR="003C52AD">
        <w:rPr>
          <w:rFonts w:ascii="Times New Roman" w:hAnsi="Times New Roman" w:cs="Times New Roman"/>
          <w:color w:val="000000"/>
        </w:rPr>
        <w:t xml:space="preserve">Addressing this Court on 28 June 2000, </w:t>
      </w:r>
      <w:proofErr w:type="spellStart"/>
      <w:r w:rsidR="003C52AD">
        <w:rPr>
          <w:rFonts w:ascii="Times New Roman" w:hAnsi="Times New Roman" w:cs="Times New Roman"/>
          <w:color w:val="000000"/>
        </w:rPr>
        <w:t>Mr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C52AD">
        <w:rPr>
          <w:rFonts w:ascii="Times New Roman" w:hAnsi="Times New Roman" w:cs="Times New Roman"/>
          <w:i/>
          <w:iCs/>
          <w:color w:val="000000"/>
        </w:rPr>
        <w:t>Gatonye</w:t>
      </w:r>
      <w:proofErr w:type="spellEnd"/>
      <w:r w:rsidR="003C52AD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who appeared with </w:t>
      </w:r>
      <w:proofErr w:type="spellStart"/>
      <w:r w:rsidR="003C52AD">
        <w:rPr>
          <w:rFonts w:ascii="Times New Roman" w:hAnsi="Times New Roman" w:cs="Times New Roman"/>
          <w:color w:val="000000"/>
        </w:rPr>
        <w:t>Mr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i/>
          <w:iCs/>
          <w:color w:val="000000"/>
        </w:rPr>
        <w:t xml:space="preserve">Kimani </w:t>
      </w:r>
      <w:r w:rsidR="003C52AD">
        <w:rPr>
          <w:rFonts w:ascii="Times New Roman" w:hAnsi="Times New Roman" w:cs="Times New Roman"/>
          <w:color w:val="000000"/>
        </w:rPr>
        <w:t>for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the Respondent submitted that the heart of the dispute between the parties to this appeal was the letter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dated 17 October 1980 and addressed to </w:t>
      </w:r>
      <w:proofErr w:type="spellStart"/>
      <w:r w:rsidR="003C52AD">
        <w:rPr>
          <w:rFonts w:ascii="Times New Roman" w:hAnsi="Times New Roman" w:cs="Times New Roman"/>
          <w:color w:val="000000"/>
        </w:rPr>
        <w:t>Honourable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JN </w:t>
      </w:r>
      <w:proofErr w:type="spellStart"/>
      <w:r w:rsidR="003C52AD">
        <w:rPr>
          <w:rFonts w:ascii="Times New Roman" w:hAnsi="Times New Roman" w:cs="Times New Roman"/>
          <w:color w:val="000000"/>
        </w:rPr>
        <w:t>Karume</w:t>
      </w:r>
      <w:proofErr w:type="spellEnd"/>
      <w:r w:rsidR="003C52AD">
        <w:rPr>
          <w:rFonts w:ascii="Times New Roman" w:hAnsi="Times New Roman" w:cs="Times New Roman"/>
          <w:color w:val="000000"/>
        </w:rPr>
        <w:t>, Member of Parliament (PW 1) by the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Appellant’s managing director, </w:t>
      </w:r>
      <w:proofErr w:type="spellStart"/>
      <w:r w:rsidR="003C52AD">
        <w:rPr>
          <w:rFonts w:ascii="Times New Roman" w:hAnsi="Times New Roman" w:cs="Times New Roman"/>
          <w:color w:val="000000"/>
        </w:rPr>
        <w:t>Mr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BH Hobson. That letter was tendered in evidence in the superior court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and marked exhibit 4. Its contents which were on a paper bearing the letterheads of East Africa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Breweries Limited were as follows: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 xml:space="preserve">“The Hon JN </w:t>
      </w:r>
      <w:proofErr w:type="spellStart"/>
      <w:r w:rsidR="003C52AD">
        <w:rPr>
          <w:rFonts w:ascii="Times New Roman" w:hAnsi="Times New Roman" w:cs="Times New Roman"/>
          <w:color w:val="000000"/>
          <w:sz w:val="20"/>
          <w:szCs w:val="20"/>
        </w:rPr>
        <w:t>Karume</w:t>
      </w:r>
      <w:proofErr w:type="spellEnd"/>
      <w:r w:rsidR="003C52AD">
        <w:rPr>
          <w:rFonts w:ascii="Times New Roman" w:hAnsi="Times New Roman" w:cs="Times New Roman"/>
          <w:color w:val="000000"/>
          <w:sz w:val="20"/>
          <w:szCs w:val="20"/>
        </w:rPr>
        <w:t xml:space="preserve"> MP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C52AD">
        <w:rPr>
          <w:rFonts w:ascii="Times New Roman" w:hAnsi="Times New Roman" w:cs="Times New Roman"/>
          <w:color w:val="000000"/>
          <w:sz w:val="20"/>
          <w:szCs w:val="20"/>
        </w:rPr>
        <w:t>Kiambu</w:t>
      </w:r>
      <w:proofErr w:type="spellEnd"/>
      <w:r w:rsidR="003C52AD">
        <w:rPr>
          <w:rFonts w:ascii="Times New Roman" w:hAnsi="Times New Roman" w:cs="Times New Roman"/>
          <w:color w:val="000000"/>
          <w:sz w:val="20"/>
          <w:szCs w:val="20"/>
        </w:rPr>
        <w:t xml:space="preserve"> General Transport Agency Ltd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P O Box 134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C52AD">
        <w:rPr>
          <w:rFonts w:ascii="Times New Roman" w:hAnsi="Times New Roman" w:cs="Times New Roman"/>
          <w:color w:val="000000"/>
          <w:sz w:val="20"/>
          <w:szCs w:val="20"/>
        </w:rPr>
        <w:t>Kiambu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 xml:space="preserve">Dear Hon </w:t>
      </w:r>
      <w:proofErr w:type="spellStart"/>
      <w:r w:rsidR="003C52AD">
        <w:rPr>
          <w:rFonts w:ascii="Times New Roman" w:hAnsi="Times New Roman" w:cs="Times New Roman"/>
          <w:color w:val="000000"/>
          <w:sz w:val="20"/>
          <w:szCs w:val="20"/>
        </w:rPr>
        <w:t>Karume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I refer to your letter of 4 November 1978 addressed to our Chairman. Delay in replying to it due to oversight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on our part is regretted.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As you know, we have a standard contract for all our distributors. Generally speaking, we do not take away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business from our distributors except in the cases where they are unable to distribute our products for one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reason or the other. We believe in keeping our distributors for as long as possible so long as their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performance remains satisfactory.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It sounds as if you are concerned that your distributorship could be terminated without notice. This is not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case. You have been our long serving distributor and we have had a very happy association. Consequently, 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would give assurance that so long as you continue to perform satisfactorily we have no intention of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terminating your agency. In the unlikely event of circumstances arising for us to want to terminate your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services, we would no doubt give you a reasonable notice and the ten years would be reasonable to enable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you to make the necessary adjustments in your businesses. I sincerely hope that that would not be necessary as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it is not even contemplated.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Yours sincerely,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BH Hobson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Managing Director”.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In his evidence in the superior court in connection with this letter, PW 1 who has been one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directors of the Respondent since its inception had this to say: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“In 1980, Hobson was managing the breweries. He knew me as a customer. I look at page 3 clause 17 in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1980 agreement. The termination period was 12 months. I produce the agreement as exhibit 3. I was happy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 xml:space="preserve">with the termination clause at that time. After </w:t>
      </w:r>
      <w:proofErr w:type="spellStart"/>
      <w:r w:rsidR="003C52AD">
        <w:rPr>
          <w:rFonts w:ascii="Times New Roman" w:hAnsi="Times New Roman" w:cs="Times New Roman"/>
          <w:color w:val="000000"/>
          <w:sz w:val="20"/>
          <w:szCs w:val="20"/>
        </w:rPr>
        <w:t>awhile</w:t>
      </w:r>
      <w:proofErr w:type="spellEnd"/>
      <w:r w:rsidR="003C52AD">
        <w:rPr>
          <w:rFonts w:ascii="Times New Roman" w:hAnsi="Times New Roman" w:cs="Times New Roman"/>
          <w:color w:val="000000"/>
          <w:sz w:val="20"/>
          <w:szCs w:val="20"/>
        </w:rPr>
        <w:t xml:space="preserve"> I went to see Hobson the managing director. I saw him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and we discussed as we had worked for so long. I thought the period was too short. I said so, because since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1958, I had invested heavily and the time could not allow me to dispose of the motor vehicles. I put to him my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problem and first he said he was happy with our relation.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He told though (the) agreement was 12 months or 1 year, nobody from Kenya Breweries could come and tell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me you go because of the long period. That 12 months was only a formality. He told me that nobody could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terminate my business of 12 years. I told him to give me a note. I look at a letter dated 17 October 1980. This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 xml:space="preserve">letter was written to me by </w:t>
      </w:r>
      <w:proofErr w:type="spellStart"/>
      <w:r w:rsidR="003C52AD"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 w:rsidR="003C52AD">
        <w:rPr>
          <w:rFonts w:ascii="Times New Roman" w:hAnsi="Times New Roman" w:cs="Times New Roman"/>
          <w:color w:val="000000"/>
          <w:sz w:val="20"/>
          <w:szCs w:val="20"/>
        </w:rPr>
        <w:t xml:space="preserve"> Hobson. He told me that considering all those years, the only reasonable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period I could be given was 10 years”.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PW 1 further testified that in 1980 BH Hobson was the managing director of the Appellant and exhibit 4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was written in connection with his distribution agency. He also said that it was possible that he might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have written to </w:t>
      </w:r>
      <w:proofErr w:type="spellStart"/>
      <w:r w:rsidR="003C52AD">
        <w:rPr>
          <w:rFonts w:ascii="Times New Roman" w:hAnsi="Times New Roman" w:cs="Times New Roman"/>
          <w:color w:val="000000"/>
        </w:rPr>
        <w:t>Mr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Hobson on 4 November 1978.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The Respondent was incorporated on 23 December 1966 with two subscribers, one of whom was PW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1 who was and still is one of its directors. Prior to its incorporation, PW 1 was trading in beer distribution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in the name and style of </w:t>
      </w:r>
      <w:proofErr w:type="spellStart"/>
      <w:r w:rsidR="003C52AD">
        <w:rPr>
          <w:rFonts w:ascii="Times New Roman" w:hAnsi="Times New Roman" w:cs="Times New Roman"/>
          <w:color w:val="000000"/>
        </w:rPr>
        <w:t>Kiambu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General Transport Agency and his first letter of appointment as a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distributor for the products of </w:t>
      </w:r>
      <w:proofErr w:type="spellStart"/>
      <w:r w:rsidR="003C52AD">
        <w:rPr>
          <w:rFonts w:ascii="Times New Roman" w:hAnsi="Times New Roman" w:cs="Times New Roman"/>
          <w:color w:val="000000"/>
        </w:rPr>
        <w:t>Allsop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(EA) Limited and dated 28 February 1963 was from the Brewers’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Association of East Africa amongst whose members was East African Breweries Limited which later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became Kenya Breweries Limited and has now reverted back to its original name of East African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Breweries Limited. He confirmed his acceptance of the terms of that letter of appointment by his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endorsement on it on 1 March 1963. That letter was tendered in evidence in the superior court and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marked exhibit 2. Clause 9 of the eleven terms in this exhibit read as follows: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 xml:space="preserve">“9 This appointment can be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lastRenderedPageBreak/>
        <w:t>terminated by either party giving the other one month’s notice in writing,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except in the event of non-compliance with the above terms in which case either party shall be entitled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to terminate the arrangements immediately”.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These arrangements were superseded and revoked by the Appellant’s letter of appointment to the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Respondent as a distributor of its beer products, namely, Tusker, Pilsner, White Cap, City, Tusker Export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="003C52AD">
        <w:rPr>
          <w:rFonts w:ascii="Times New Roman" w:hAnsi="Times New Roman" w:cs="Times New Roman"/>
          <w:color w:val="000000"/>
        </w:rPr>
        <w:t>Guiness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Stout in almost the whole of the old </w:t>
      </w:r>
      <w:proofErr w:type="spellStart"/>
      <w:r w:rsidR="003C52AD">
        <w:rPr>
          <w:rFonts w:ascii="Times New Roman" w:hAnsi="Times New Roman" w:cs="Times New Roman"/>
          <w:color w:val="000000"/>
        </w:rPr>
        <w:t>Kiambu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District. This letter was dated 12 June 1980 and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was received by the Respondent on 25 August 1980. PW 1 as a director of the Respondent accepted on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its behalf the appointment as the Appellant’s distributor of its beer products on the terms and subject to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the conditions set out in that letter. That letter was tendered in evidence in the superior court and marked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exhibit 3. Clause 17 of this exhibit stipulated that: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“17 Subject to the provisions of clause 18 hereof, your appointment, hereunder will remain in force until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 xml:space="preserve">termination by not less than twelve (12) </w:t>
      </w:r>
      <w:proofErr w:type="spellStart"/>
      <w:r w:rsidR="003C52AD">
        <w:rPr>
          <w:rFonts w:ascii="Times New Roman" w:hAnsi="Times New Roman" w:cs="Times New Roman"/>
          <w:color w:val="000000"/>
          <w:sz w:val="20"/>
          <w:szCs w:val="20"/>
        </w:rPr>
        <w:t>months notice</w:t>
      </w:r>
      <w:proofErr w:type="spellEnd"/>
      <w:r w:rsidR="003C52AD">
        <w:rPr>
          <w:rFonts w:ascii="Times New Roman" w:hAnsi="Times New Roman" w:cs="Times New Roman"/>
          <w:color w:val="000000"/>
          <w:sz w:val="20"/>
          <w:szCs w:val="20"/>
        </w:rPr>
        <w:t>, expiring on the last day of any calendar month,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served in writing by either party on the other”.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Clause 18 related to the Respondent’s distributorship being terminated for breaches of certain terms and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conditions set out in exhibit 3 and clause 19 of the said exhibit clearly stated that: “This letter of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appointment supersedes and revokes any and every letter or agreement of similar nature previously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accepted by you or entered into between us”.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It would seem therefore from the foregoing clauses that after exhibit 3 superseded and revoked the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arrangements in exhibit 2, save for breaches of certain terms and conditions set out in the former exhibit,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termination of the Respondent’s distributorship was otherwise well taken care of, for in terms of clause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17, it was to remain in force until a notice in that regard of not less than twelve (12) months expiring on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the last day of any calendar month was served in writing by either party to the distributorship agreement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on the other. It would appear to me therefore that the anxieties referred to in exhibit 4 that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Respondent’s distributorship of the Appellant’s beer products could be terminated without notice cannot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have been in connection with exhibit 3 for a termination notice of not less than twelve (12) months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expiring on the last day of any calendar month as is referred to above could well have been more than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twelve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(12) months and thus take care of the parties’ long and happy relationship as testified to by PW1 in his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evidence in the superior court and as is referred to in exhibit 4. In referring to PW 1’s letter of 4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November 1978, it looks like the focus of exhibit 4 was exhibit 2 wherein the distributorship of </w:t>
      </w:r>
      <w:proofErr w:type="spellStart"/>
      <w:r w:rsidR="003C52AD">
        <w:rPr>
          <w:rFonts w:ascii="Times New Roman" w:hAnsi="Times New Roman" w:cs="Times New Roman"/>
          <w:color w:val="000000"/>
        </w:rPr>
        <w:t>Kiambu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General Transport Agency could be terminated by its being given one (1) </w:t>
      </w:r>
      <w:proofErr w:type="spellStart"/>
      <w:r w:rsidR="003C52AD">
        <w:rPr>
          <w:rFonts w:ascii="Times New Roman" w:hAnsi="Times New Roman" w:cs="Times New Roman"/>
          <w:color w:val="000000"/>
        </w:rPr>
        <w:t>month’s notice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in writing or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without notice in the event of non-compliance with the terms of the said exhibit.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When PW 1 was re-examined in the superior court by counsel then appearing for the Respondent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herein in that court, </w:t>
      </w:r>
      <w:proofErr w:type="spellStart"/>
      <w:r w:rsidR="003C52AD">
        <w:rPr>
          <w:rFonts w:ascii="Times New Roman" w:hAnsi="Times New Roman" w:cs="Times New Roman"/>
          <w:color w:val="000000"/>
        </w:rPr>
        <w:t>Mr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i/>
          <w:iCs/>
          <w:color w:val="000000"/>
        </w:rPr>
        <w:t>Kimani</w:t>
      </w:r>
      <w:r w:rsidR="003C52AD">
        <w:rPr>
          <w:rFonts w:ascii="Times New Roman" w:hAnsi="Times New Roman" w:cs="Times New Roman"/>
          <w:color w:val="000000"/>
        </w:rPr>
        <w:t xml:space="preserve">, who is now being led by </w:t>
      </w:r>
      <w:proofErr w:type="spellStart"/>
      <w:r w:rsidR="003C52AD">
        <w:rPr>
          <w:rFonts w:ascii="Times New Roman" w:hAnsi="Times New Roman" w:cs="Times New Roman"/>
          <w:color w:val="000000"/>
        </w:rPr>
        <w:t>Mr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C52AD">
        <w:rPr>
          <w:rFonts w:ascii="Times New Roman" w:hAnsi="Times New Roman" w:cs="Times New Roman"/>
          <w:i/>
          <w:iCs/>
          <w:color w:val="000000"/>
        </w:rPr>
        <w:t>Gatonye</w:t>
      </w:r>
      <w:proofErr w:type="spellEnd"/>
      <w:r w:rsidR="003C52AD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for the same party in this appeal,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had this to say in relation to exhibits 3 and 4: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“I am looking at exhibit 3 – agreement dated 12 June 1980. I see clause 17. It provided a period notice of 12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months. I was not satisfied with that period notice, that’s why I went to the Defendant’s office and was given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10 years. That agreement was altered by a letter exhibit 4. To date the period notice I know of to terminate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any distribution agreement is 10 years. That letter was signed by a senior person BH Hobson, the managing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 xml:space="preserve">director, who later became chairman of KBL. Exhibit 4 came from the Defendant </w:t>
      </w:r>
      <w:proofErr w:type="gramStart"/>
      <w:r w:rsidR="003C52AD">
        <w:rPr>
          <w:rFonts w:ascii="Times New Roman" w:hAnsi="Times New Roman" w:cs="Times New Roman"/>
          <w:color w:val="000000"/>
          <w:sz w:val="20"/>
          <w:szCs w:val="20"/>
        </w:rPr>
        <w:t>company</w:t>
      </w:r>
      <w:proofErr w:type="gramEnd"/>
      <w:r w:rsidR="003C52AD">
        <w:rPr>
          <w:rFonts w:ascii="Times New Roman" w:hAnsi="Times New Roman" w:cs="Times New Roman"/>
          <w:color w:val="000000"/>
          <w:sz w:val="20"/>
          <w:szCs w:val="20"/>
        </w:rPr>
        <w:t xml:space="preserve"> and was signed by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Hobson who was with KBL for over 40 years. Exhibit 4 was written subsequent to my negotiation with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Hobson. Our discussion related to my dissatisfaction with the period notice. We discussed and I said 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because I had invested heavily a period of 12 months was not enough. I am looking at exhibit 3. KBL used 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be EABL before it changed its name. The Defendant used to use these letterheads”.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According to PW 1, exhibit 4 was subsequent to his negotiation with BH Hobson over the period of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notice stipulated in clause 17 of exhibit 3. Peter </w:t>
      </w:r>
      <w:proofErr w:type="spellStart"/>
      <w:r w:rsidR="003C52AD">
        <w:rPr>
          <w:rFonts w:ascii="Times New Roman" w:hAnsi="Times New Roman" w:cs="Times New Roman"/>
          <w:color w:val="000000"/>
        </w:rPr>
        <w:t>Gachathi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C52AD">
        <w:rPr>
          <w:rFonts w:ascii="Times New Roman" w:hAnsi="Times New Roman" w:cs="Times New Roman"/>
          <w:color w:val="000000"/>
        </w:rPr>
        <w:t>Wanjama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(DW 3), the Appellant’s marketing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director, however, when cross-examined in the superior court by </w:t>
      </w:r>
      <w:proofErr w:type="spellStart"/>
      <w:r w:rsidR="003C52AD">
        <w:rPr>
          <w:rFonts w:ascii="Times New Roman" w:hAnsi="Times New Roman" w:cs="Times New Roman"/>
          <w:color w:val="000000"/>
        </w:rPr>
        <w:t>Mr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C52AD">
        <w:rPr>
          <w:rFonts w:ascii="Times New Roman" w:hAnsi="Times New Roman" w:cs="Times New Roman"/>
          <w:i/>
          <w:iCs/>
          <w:color w:val="000000"/>
        </w:rPr>
        <w:t>Oraro</w:t>
      </w:r>
      <w:proofErr w:type="spellEnd"/>
      <w:r w:rsidR="003C52AD">
        <w:rPr>
          <w:rFonts w:ascii="Times New Roman" w:hAnsi="Times New Roman" w:cs="Times New Roman"/>
          <w:color w:val="000000"/>
        </w:rPr>
        <w:t>, the leading counsel then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appearing for the Respondent in that court, over exhibit 4 testified that the same was a response by BH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Hobson to a letter dated 4 November 1978 addressed to the then chairman of East African Breweries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Limited, </w:t>
      </w:r>
      <w:proofErr w:type="spellStart"/>
      <w:r w:rsidR="003C52AD">
        <w:rPr>
          <w:rFonts w:ascii="Times New Roman" w:hAnsi="Times New Roman" w:cs="Times New Roman"/>
          <w:color w:val="000000"/>
        </w:rPr>
        <w:t>Mr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KSN </w:t>
      </w:r>
      <w:proofErr w:type="spellStart"/>
      <w:r w:rsidR="003C52AD">
        <w:rPr>
          <w:rFonts w:ascii="Times New Roman" w:hAnsi="Times New Roman" w:cs="Times New Roman"/>
          <w:color w:val="000000"/>
        </w:rPr>
        <w:t>Matiba</w:t>
      </w:r>
      <w:proofErr w:type="spellEnd"/>
      <w:r w:rsidR="003C52AD">
        <w:rPr>
          <w:rFonts w:ascii="Times New Roman" w:hAnsi="Times New Roman" w:cs="Times New Roman"/>
          <w:color w:val="000000"/>
        </w:rPr>
        <w:t>. It re-assured PW 1 that his distributorship agreement would not be terminated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without notice and that he would be given reasonable notice.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At the hearing of this appeal on 26, 27, 28, 29 and 30 June 2000, the submission of counsel for the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Appellant, </w:t>
      </w:r>
      <w:proofErr w:type="spellStart"/>
      <w:r w:rsidR="003C52AD">
        <w:rPr>
          <w:rFonts w:ascii="Times New Roman" w:hAnsi="Times New Roman" w:cs="Times New Roman"/>
          <w:color w:val="000000"/>
        </w:rPr>
        <w:t>Mr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C52AD">
        <w:rPr>
          <w:rFonts w:ascii="Times New Roman" w:hAnsi="Times New Roman" w:cs="Times New Roman"/>
          <w:i/>
          <w:iCs/>
          <w:color w:val="000000"/>
        </w:rPr>
        <w:t>Kilonzo</w:t>
      </w:r>
      <w:proofErr w:type="spellEnd"/>
      <w:r w:rsidR="003C52AD">
        <w:rPr>
          <w:rFonts w:ascii="Times New Roman" w:hAnsi="Times New Roman" w:cs="Times New Roman"/>
          <w:color w:val="000000"/>
        </w:rPr>
        <w:t>, on exhibit 4 was that it made no reference to Exhibit 3. Indeed, according to him,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it related to exhibit 2 which was then in force when the anxieties </w:t>
      </w:r>
      <w:r w:rsidR="003C52AD">
        <w:rPr>
          <w:rFonts w:ascii="Times New Roman" w:hAnsi="Times New Roman" w:cs="Times New Roman"/>
          <w:color w:val="000000"/>
        </w:rPr>
        <w:lastRenderedPageBreak/>
        <w:t>contained in it were expressed by PW 1.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It had no relevance to exhibit 3 and was not a variation of the same for uncertainty. It was not submitted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to the Appellant’s board of directors for approval. According to counsel, exhibit 4 was no more than a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letter of comfort from one good friend to another. </w:t>
      </w:r>
      <w:proofErr w:type="spellStart"/>
      <w:r w:rsidR="003C52AD">
        <w:rPr>
          <w:rFonts w:ascii="Times New Roman" w:hAnsi="Times New Roman" w:cs="Times New Roman"/>
          <w:color w:val="000000"/>
        </w:rPr>
        <w:t>Mr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C52AD">
        <w:rPr>
          <w:rFonts w:ascii="Times New Roman" w:hAnsi="Times New Roman" w:cs="Times New Roman"/>
          <w:i/>
          <w:iCs/>
          <w:color w:val="000000"/>
        </w:rPr>
        <w:t>Gatonye</w:t>
      </w:r>
      <w:r w:rsidR="003C52AD">
        <w:rPr>
          <w:rFonts w:ascii="Times New Roman" w:hAnsi="Times New Roman" w:cs="Times New Roman"/>
          <w:color w:val="000000"/>
        </w:rPr>
        <w:t>’s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submission on this document, however,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was that it constituted a variation of exhibit 3 so that the Respondent was entitled to a period of 10 years’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notice from the Appellant before the termination of its distributorship of the Appellant’s beer products. It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was a binding contract between the parties and the consideration on the part of the Respondent was the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undertaking to perform satisfactorily in its distributorship. Exhibit 4 changed the period of notice of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termination in clause 17 of exhibit 3 from 12 months to 10 years. Thus, the parties’ business and legal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relationship was given effect by exhibit 4 as they so intended.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Exhibit 2 was signed for the Brewers’ Association of East Africa and on the acceptance of its terms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and subsequent by PW 1 on behalf of </w:t>
      </w:r>
      <w:proofErr w:type="spellStart"/>
      <w:r w:rsidR="003C52AD">
        <w:rPr>
          <w:rFonts w:ascii="Times New Roman" w:hAnsi="Times New Roman" w:cs="Times New Roman"/>
          <w:color w:val="000000"/>
        </w:rPr>
        <w:t>Kiambu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General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Transport Agency, it constituted a binding contract between the parties thereto. Similarly, exhibit 3 was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signed for the Appellant by the latter’s sales and marketing manager and on the acceptance of its terms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and conditions set out </w:t>
      </w:r>
      <w:proofErr w:type="spellStart"/>
      <w:r w:rsidR="003C52AD">
        <w:rPr>
          <w:rFonts w:ascii="Times New Roman" w:hAnsi="Times New Roman" w:cs="Times New Roman"/>
          <w:color w:val="000000"/>
        </w:rPr>
        <w:t>therein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coupled with the subsequent endorsement by PW 1 on behalf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Respondent, it too constituted a binding contract between the Appellant and the Respondent. Exhibit 4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which from the date-stamped on it was received by PW 1 on 22 October 1980 </w:t>
      </w:r>
      <w:proofErr w:type="spellStart"/>
      <w:r w:rsidR="003C52AD">
        <w:rPr>
          <w:rFonts w:ascii="Times New Roman" w:hAnsi="Times New Roman" w:cs="Times New Roman"/>
          <w:color w:val="000000"/>
        </w:rPr>
        <w:t>though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authorised on a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paper with East African Breweries Ltd letterheads by BH Hobson, managing director, it is noteworthy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that the latter neither authorised it for East African Breweries Ltd nor on behalf of the Appellant. As </w:t>
      </w:r>
      <w:proofErr w:type="spellStart"/>
      <w:r w:rsidR="003C52AD"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C52AD">
        <w:rPr>
          <w:rFonts w:ascii="Times New Roman" w:hAnsi="Times New Roman" w:cs="Times New Roman"/>
          <w:i/>
          <w:iCs/>
          <w:color w:val="000000"/>
        </w:rPr>
        <w:t>Kilonzo</w:t>
      </w:r>
      <w:proofErr w:type="spellEnd"/>
      <w:r w:rsidR="003C52AD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for the Appellant pointed out in his submission on it, it may well have been no more than a letter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of comfort from one good friend to another.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A variation of an existing contract involves an alteration as a matter of contract of the contractual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relations between the parties. Hence, the agreement for variation must itself possess the characteristics of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a valid contract. To effect a variation therefore, the parties must be </w:t>
      </w:r>
      <w:r w:rsidR="003C52AD">
        <w:rPr>
          <w:rFonts w:ascii="Times New Roman" w:hAnsi="Times New Roman" w:cs="Times New Roman"/>
          <w:i/>
          <w:iCs/>
          <w:color w:val="000000"/>
        </w:rPr>
        <w:t xml:space="preserve">ad idem </w:t>
      </w:r>
      <w:r w:rsidR="003C52AD">
        <w:rPr>
          <w:rFonts w:ascii="Times New Roman" w:hAnsi="Times New Roman" w:cs="Times New Roman"/>
          <w:color w:val="000000"/>
        </w:rPr>
        <w:t>in the same sense as for the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formation of a contract. Indeed, the agreement for variation must further be supported by consideration –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see </w:t>
      </w:r>
      <w:r w:rsidR="003C52AD"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 w:rsidR="003C52AD">
        <w:rPr>
          <w:rFonts w:ascii="Times New Roman" w:hAnsi="Times New Roman" w:cs="Times New Roman"/>
          <w:color w:val="000000"/>
        </w:rPr>
        <w:t xml:space="preserve">(4 </w:t>
      </w:r>
      <w:proofErr w:type="spellStart"/>
      <w:proofErr w:type="gramStart"/>
      <w:r w:rsidR="003C52AD"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 w:rsidR="003C52AD">
        <w:rPr>
          <w:rFonts w:ascii="Times New Roman" w:hAnsi="Times New Roman" w:cs="Times New Roman"/>
          <w:color w:val="000000"/>
        </w:rPr>
        <w:t>) Volume 9 at 391 paragraph 569. If the agreement is a mere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C52AD">
        <w:rPr>
          <w:rFonts w:ascii="Times New Roman" w:hAnsi="Times New Roman" w:cs="Times New Roman"/>
          <w:i/>
          <w:iCs/>
          <w:color w:val="000000"/>
        </w:rPr>
        <w:t>nudum</w:t>
      </w:r>
      <w:proofErr w:type="spellEnd"/>
      <w:r w:rsidR="003C52AD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="003C52AD">
        <w:rPr>
          <w:rFonts w:ascii="Times New Roman" w:hAnsi="Times New Roman" w:cs="Times New Roman"/>
          <w:i/>
          <w:iCs/>
          <w:color w:val="000000"/>
        </w:rPr>
        <w:t>pactum</w:t>
      </w:r>
      <w:proofErr w:type="spellEnd"/>
      <w:r w:rsidR="003C52AD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it would give no cause of action for breach particularly if its effect was to give a voluntary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indulgence to the other party to the agreement – see the voluntary indulgence to the other party to the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agreement – see the case of </w:t>
      </w:r>
      <w:proofErr w:type="spellStart"/>
      <w:r w:rsidR="003C52AD">
        <w:rPr>
          <w:rFonts w:ascii="Times New Roman" w:hAnsi="Times New Roman" w:cs="Times New Roman"/>
          <w:i/>
          <w:iCs/>
          <w:color w:val="000000"/>
        </w:rPr>
        <w:t>Vanbergen</w:t>
      </w:r>
      <w:proofErr w:type="spellEnd"/>
      <w:r w:rsidR="003C52AD">
        <w:rPr>
          <w:rFonts w:ascii="Times New Roman" w:hAnsi="Times New Roman" w:cs="Times New Roman"/>
          <w:i/>
          <w:iCs/>
          <w:color w:val="000000"/>
        </w:rPr>
        <w:t xml:space="preserve"> v St Edmunds Ltd </w:t>
      </w:r>
      <w:r w:rsidR="003C52AD">
        <w:rPr>
          <w:rFonts w:ascii="Times New Roman" w:hAnsi="Times New Roman" w:cs="Times New Roman"/>
          <w:color w:val="000000"/>
        </w:rPr>
        <w:t>[1933] 2 KB 223.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Although </w:t>
      </w:r>
      <w:proofErr w:type="spellStart"/>
      <w:r w:rsidR="003C52AD">
        <w:rPr>
          <w:rFonts w:ascii="Times New Roman" w:hAnsi="Times New Roman" w:cs="Times New Roman"/>
          <w:color w:val="000000"/>
        </w:rPr>
        <w:t>Mr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C52AD">
        <w:rPr>
          <w:rFonts w:ascii="Times New Roman" w:hAnsi="Times New Roman" w:cs="Times New Roman"/>
          <w:i/>
          <w:iCs/>
          <w:color w:val="000000"/>
        </w:rPr>
        <w:t>Gatonye</w:t>
      </w:r>
      <w:proofErr w:type="spellEnd"/>
      <w:r w:rsidR="003C52AD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for the Respondent submitted that the undertaking by the Respondent to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perform satisfactorily in its distributorship of the Appellants’ beer products constituted the consideration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on its part in relation to exhibit 4, clause 18(b</w:t>
      </w:r>
      <w:proofErr w:type="gramStart"/>
      <w:r w:rsidR="003C52AD">
        <w:rPr>
          <w:rFonts w:ascii="Times New Roman" w:hAnsi="Times New Roman" w:cs="Times New Roman"/>
          <w:color w:val="000000"/>
        </w:rPr>
        <w:t>)(</w:t>
      </w:r>
      <w:proofErr w:type="gramEnd"/>
      <w:r w:rsidR="003C52AD">
        <w:rPr>
          <w:rFonts w:ascii="Times New Roman" w:hAnsi="Times New Roman" w:cs="Times New Roman"/>
          <w:color w:val="000000"/>
        </w:rPr>
        <w:t>v) of exhibit 3 required the Respondent to do so. Indeed,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the same was couched in the following terms: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“18 (</w:t>
      </w:r>
      <w:r w:rsidR="003C52AD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) Your appointment as our distributor may be terminated forthwith upon service on you of notice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in writing to that effect … If in the opinion of KBL as it may in its absolute discretion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determine you are not maintaining sufficient stocks as may be specified by KBL in its absolute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discretion of our products to adequately supply your area with our products within 14 days of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the receipt by you of a notice in writing from KBL specifying the stocks of our products to be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>carried by you”.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Clearly the undertaking by the Respondent as is referred to above constituted no consideration on its part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in relation to exhibit 4. In its form, the said exhibit was no more than to give the Respondent a voluntary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indulgence. In any event, from what I have attempted to outline above, it had no bearing on exhibit 3. If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anything, it looked towards exhibit 2 which later was abrogated by exhibit 3.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Exhibit 3 was superseded and revoked by the letter dated 18 July 1996 addressed to the Respondent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by the Appellant. That letter appointed the Respondent as a distributor of the Appellant’s products with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effect from the date above-mentioned in certain areas of </w:t>
      </w:r>
      <w:proofErr w:type="spellStart"/>
      <w:r w:rsidR="003C52AD">
        <w:rPr>
          <w:rFonts w:ascii="Times New Roman" w:hAnsi="Times New Roman" w:cs="Times New Roman"/>
          <w:color w:val="000000"/>
        </w:rPr>
        <w:t>Kiambu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District. That letter generated some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controversy between the Respondent and the Appellant and eventually sparked off the Respondent’s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claim against the Appellant. Its terms and conditions had after some discussion between the Respondent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and the Appellant been accepted and endorsed by PW 1 on behalf of the Respondent. It was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tendered in evidence in the superior court and marked exhibit 6. Clause 19(a) of that exhibit provided as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follows: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  <w:sz w:val="20"/>
          <w:szCs w:val="20"/>
        </w:rPr>
        <w:t xml:space="preserve">“19 (a) This Agreement may be terminated by either party giving to the other ninety (90) </w:t>
      </w:r>
      <w:proofErr w:type="spellStart"/>
      <w:r w:rsidR="003C52AD">
        <w:rPr>
          <w:rFonts w:ascii="Times New Roman" w:hAnsi="Times New Roman" w:cs="Times New Roman"/>
          <w:color w:val="000000"/>
          <w:sz w:val="20"/>
          <w:szCs w:val="20"/>
        </w:rPr>
        <w:t>days notice</w:t>
      </w:r>
      <w:proofErr w:type="spellEnd"/>
      <w:r w:rsidR="003C52AD">
        <w:rPr>
          <w:rFonts w:ascii="Times New Roman" w:hAnsi="Times New Roman" w:cs="Times New Roman"/>
          <w:color w:val="000000"/>
          <w:sz w:val="20"/>
          <w:szCs w:val="20"/>
        </w:rPr>
        <w:t>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Pursuant to that clause, the Appellant by a letter dated 5 March 1997 and addressed to the Respondent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lastRenderedPageBreak/>
        <w:t>gave to the latter ninety (90) days’ notice of termination of their distributorship agreement – exhibit 6.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This letter was tendered in evidence in the superior court marked exhibit 7. At the expiry of that notice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on 2 June 1997 the aforementioned distributorship agreement was terminated.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As I indicated at the beginning of this judgment, the dispute between the Appellant and the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Respondent was predicated on exhibit 4. Indeed, this exhibit was the fixed point upon which the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judgment of the superior court was grounded. Without reliance on it, that judgment which awarded the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Respondent damages in the sum of </w:t>
      </w:r>
      <w:proofErr w:type="spellStart"/>
      <w:r w:rsidR="003C52AD">
        <w:rPr>
          <w:rFonts w:ascii="Times New Roman" w:hAnsi="Times New Roman" w:cs="Times New Roman"/>
          <w:color w:val="000000"/>
        </w:rPr>
        <w:t>KShs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241 586 711-58 together with costs and interest would tumble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down like a house of cards. If as I have held this document had no bearing on exhibit 3, then, it was of no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relevance to the execution of exhibit 6 and all the energy expended and the expense incurred by the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parties to this appeal in relation to the said document was sadly wasted. In my view, the Respondent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could not lay a claim against the Appellant based on Exhibit 4 for the termination of its distributorship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agreement with the Appellant in terms of exhibit 6. Having come to this conclusion, I consider that to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engage in any further debate in this appeal is superfluous and I do not intend to do so. Consequently, I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would allow the Appellant’s appeal, set aside the judgment and decree of the superior court and award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 xml:space="preserve">the costs of this appeal and of the trial in the superior court to the Appellant. As </w:t>
      </w:r>
      <w:proofErr w:type="spellStart"/>
      <w:r w:rsidR="003C52AD">
        <w:rPr>
          <w:rFonts w:ascii="Times New Roman" w:hAnsi="Times New Roman" w:cs="Times New Roman"/>
          <w:color w:val="000000"/>
        </w:rPr>
        <w:t>Akiwumi</w:t>
      </w:r>
      <w:proofErr w:type="spellEnd"/>
      <w:r w:rsidR="003C52AD">
        <w:rPr>
          <w:rFonts w:ascii="Times New Roman" w:hAnsi="Times New Roman" w:cs="Times New Roman"/>
          <w:color w:val="000000"/>
        </w:rPr>
        <w:t xml:space="preserve"> JA agrees,</w:t>
      </w:r>
      <w:r>
        <w:rPr>
          <w:rFonts w:ascii="Times New Roman" w:hAnsi="Times New Roman" w:cs="Times New Roman"/>
          <w:color w:val="000000"/>
        </w:rPr>
        <w:t xml:space="preserve"> </w:t>
      </w:r>
      <w:r w:rsidR="003C52AD">
        <w:rPr>
          <w:rFonts w:ascii="Times New Roman" w:hAnsi="Times New Roman" w:cs="Times New Roman"/>
          <w:color w:val="000000"/>
        </w:rPr>
        <w:t>there will be a majority judgment of the Court in these terms.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3F18BF" w:rsidRDefault="003F18BF">
      <w:bookmarkStart w:id="0" w:name="_GoBack"/>
      <w:bookmarkEnd w:id="0"/>
    </w:p>
    <w:sectPr w:rsidR="003F18BF" w:rsidSect="00CC75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AD"/>
    <w:rsid w:val="003C52AD"/>
    <w:rsid w:val="003F18BF"/>
    <w:rsid w:val="0074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DEBF0-2788-45AD-978B-2C8FA016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2415</Words>
  <Characters>13767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2018-07-05T10:29:00Z</dcterms:created>
  <dcterms:modified xsi:type="dcterms:W3CDTF">2018-07-12T20:01:00Z</dcterms:modified>
</cp:coreProperties>
</file>