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Bus Services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Gituma</w:t>
      </w:r>
      <w:proofErr w:type="spellEnd"/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May 2004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241/00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General damages – Motor vehicle accident causing bodily injury – Damages assessed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piecemeal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each separate injury – Whether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compartmentalisation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damages led to a wrong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assessment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Quantum – Fracture of tibia and fibula, right femur, right scapular – Soft tissue injuries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Loss of power in right upper arm – Pain and suffering – Injuries.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Damages – Special damages – Future medication – Future medication not pleaded – Whether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could be awarded for future medication if the same were not pleaded.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D303C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a passenger in the Appellant’s motor vehicle. She was involved in a motor vehicle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and sued the Appellant for various injuries she sustained, including fractures to her tibia, fibula,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femur and right scapular, soft tissue injuries and loss of power and sensation in the right arm. She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led evidence at the trial to show that she would incur future medical expenses even though this head of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 had not been pleaded. The trial judge assessed damages on a consideration of each injury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separately. Damages were also awarded for future medical expenses. The Appellant appealed, claiming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Judge had applied a wrong principle in assessing the quantum to be awarded.</w:t>
      </w:r>
      <w:r w:rsidR="000D303C">
        <w:rPr>
          <w:rFonts w:ascii="Times New Roman" w:hAnsi="Times New Roman" w:cs="Times New Roman"/>
          <w:color w:val="000000"/>
        </w:rPr>
        <w:t xml:space="preserve"> </w:t>
      </w:r>
    </w:p>
    <w:p w:rsidR="000D303C" w:rsidRDefault="000D303C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D303C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General damages must be assessed on the combined effect of all the injuries and not calculated as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 of independent assessments for each injury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Cavito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 Filippo </w:t>
      </w:r>
      <w:r>
        <w:rPr>
          <w:rFonts w:ascii="Times New Roman" w:hAnsi="Times New Roman" w:cs="Times New Roman"/>
          <w:color w:val="000000"/>
        </w:rPr>
        <w:t>[1957] EA 535 followed).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an appellate court would not interfere with the quantum of damages assessed unless it was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trial court had acted on a wrong principle of law or had misapprehended the facts, or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award was so inordinately low or high as to represent a wholly erroneous estimate of damages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Aerated Water Co </w:t>
      </w:r>
      <w:r>
        <w:rPr>
          <w:rFonts w:ascii="Times New Roman" w:hAnsi="Times New Roman" w:cs="Times New Roman"/>
          <w:color w:val="000000"/>
        </w:rPr>
        <w:t xml:space="preserve">[1965] EA 587, </w:t>
      </w:r>
      <w:r>
        <w:rPr>
          <w:rFonts w:ascii="Times New Roman" w:hAnsi="Times New Roman" w:cs="Times New Roman"/>
          <w:i/>
          <w:iCs/>
          <w:color w:val="000000"/>
        </w:rPr>
        <w:t xml:space="preserve">Idi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Shabani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>[1982–88] 1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KAR 681, </w:t>
      </w: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 xml:space="preserve">[1981] KLR 349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Kimotho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Vesters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[1988] KLR 48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followed).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an award of damages to meet the cost of future medication is made under the rubric of general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the need for future medical care is itself a special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 and is a fact that must be pleaded if evidence thereon is to be led and the court is to make an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thereon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Paint </w:t>
      </w:r>
      <w:r>
        <w:rPr>
          <w:rFonts w:ascii="Times New Roman" w:hAnsi="Times New Roman" w:cs="Times New Roman"/>
          <w:color w:val="000000"/>
        </w:rPr>
        <w:t>[1969] 1 WLR 570 adopted). The award of future medical care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 would therefore be overturned.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current case, considering the effect of inflation when making a comparative assessment of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previous authorities, the figure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870 000 for pain and injuries sustained was a fair estimate of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loss. Since the Court was satisfied that the sum awarded was no more than would have been awarded if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damages had been assessed on a correct basis, it declined to vary the award.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In personal injury cases, the only damage that is contemplated by law as arising naturally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injury is the personal injury itself and the consequential pain and suffering. Accordingly,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matters pertaining to </w:t>
      </w:r>
      <w:proofErr w:type="spellStart"/>
      <w:r>
        <w:rPr>
          <w:rFonts w:ascii="Times New Roman" w:hAnsi="Times New Roman" w:cs="Times New Roman"/>
          <w:color w:val="000000"/>
        </w:rPr>
        <w:t>hospitalisation</w:t>
      </w:r>
      <w:proofErr w:type="spellEnd"/>
      <w:r>
        <w:rPr>
          <w:rFonts w:ascii="Times New Roman" w:hAnsi="Times New Roman" w:cs="Times New Roman"/>
          <w:color w:val="000000"/>
        </w:rPr>
        <w:t>, treatment and management, the need for further medical care, the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disabilities and attendant pecuniary losses (present and future) are special damages which must be</w:t>
      </w:r>
      <w:r w:rsidR="000D30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pleaded.</w:t>
      </w:r>
      <w:r w:rsidR="000D303C">
        <w:rPr>
          <w:rFonts w:ascii="Times New Roman" w:hAnsi="Times New Roman" w:cs="Times New Roman"/>
          <w:color w:val="000000"/>
        </w:rPr>
        <w:t xml:space="preserve"> </w:t>
      </w:r>
    </w:p>
    <w:p w:rsidR="000D303C" w:rsidRDefault="000D303C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 xml:space="preserve">[1981] KLR 349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Cavito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 Filippo </w:t>
      </w:r>
      <w:r>
        <w:rPr>
          <w:rFonts w:ascii="Times New Roman" w:hAnsi="Times New Roman" w:cs="Times New Roman"/>
          <w:color w:val="000000"/>
        </w:rPr>
        <w:t xml:space="preserve">[1957] EA 535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Idi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Shabani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 xml:space="preserve">[1982–88] 1 KAR 681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Ilanga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EA 705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number 1559 of 1988 (UR)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Aerated Water Co Ltd </w:t>
      </w:r>
      <w:r>
        <w:rPr>
          <w:rFonts w:ascii="Times New Roman" w:hAnsi="Times New Roman" w:cs="Times New Roman"/>
          <w:color w:val="000000"/>
        </w:rPr>
        <w:t xml:space="preserve">[1965] EA 587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Kemfro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Africa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Luvai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[1988] I KAR 727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number 1637 of 1990 (UR)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Kimotho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Vesters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[1988] KLR 48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Oppon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number 4621 of 1988 (UR)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Zein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[1994] LLR 353 (CAK)</w:t>
      </w:r>
    </w:p>
    <w:p w:rsidR="003726B2" w:rsidRDefault="003726B2" w:rsidP="00372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70D" w:rsidRDefault="003726B2" w:rsidP="003726B2">
      <w:proofErr w:type="spellStart"/>
      <w:r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Paint </w:t>
      </w:r>
      <w:r>
        <w:rPr>
          <w:rFonts w:ascii="Times New Roman" w:hAnsi="Times New Roman" w:cs="Times New Roman"/>
          <w:color w:val="000000"/>
        </w:rPr>
        <w:t xml:space="preserve">[1969] I WLR 570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B2"/>
    <w:rsid w:val="000D303C"/>
    <w:rsid w:val="0021070D"/>
    <w:rsid w:val="003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051B-4715-4479-9193-BAF7243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2018-07-04T14:05:00Z</dcterms:created>
  <dcterms:modified xsi:type="dcterms:W3CDTF">2018-07-12T20:03:00Z</dcterms:modified>
</cp:coreProperties>
</file>