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Kenya Bus Services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Gituma</w:t>
      </w:r>
      <w:proofErr w:type="spellEnd"/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28 May 2004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241/00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General damages – Motor vehicle accident causing bodily injury – Damages assessed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piecemeal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each separate injury – Whether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compartmentalisation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damages led to a wrong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assessment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Damages – Quantum – Fracture of tibia and fibula, right femur, right scapular – Soft tissue injuries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Loss of power in right upper arm – Pain and suffering – Injuries.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Damages – Special damages – Future medication – Future medication not pleaded – Whether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damages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could be awarded for future medication if the same were not pleaded.</w:t>
      </w:r>
    </w:p>
    <w:p w:rsidR="00AD5211" w:rsidRDefault="00895F67" w:rsidP="00895F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D5211" w:rsidRDefault="00AD5211" w:rsidP="00895F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Ringera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>The Respondent was injured in a self-involving road traffic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on 7 January 1998 along Meru-Embu road when motor vehicle KAJ 073X (in which she was a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passenger) plunged into </w:t>
      </w:r>
      <w:proofErr w:type="spellStart"/>
      <w:r>
        <w:rPr>
          <w:rFonts w:ascii="Times New Roman" w:hAnsi="Times New Roman" w:cs="Times New Roman"/>
          <w:color w:val="000000"/>
        </w:rPr>
        <w:t>Nithi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river</w:t>
      </w:r>
      <w:proofErr w:type="gramEnd"/>
      <w:r>
        <w:rPr>
          <w:rFonts w:ascii="Times New Roman" w:hAnsi="Times New Roman" w:cs="Times New Roman"/>
          <w:color w:val="000000"/>
        </w:rPr>
        <w:t xml:space="preserve">. She was taken to </w:t>
      </w:r>
      <w:proofErr w:type="spellStart"/>
      <w:r>
        <w:rPr>
          <w:rFonts w:ascii="Times New Roman" w:hAnsi="Times New Roman" w:cs="Times New Roman"/>
          <w:color w:val="000000"/>
        </w:rPr>
        <w:t>Chogoria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where she was </w:t>
      </w:r>
      <w:proofErr w:type="spellStart"/>
      <w:r>
        <w:rPr>
          <w:rFonts w:ascii="Times New Roman" w:hAnsi="Times New Roman" w:cs="Times New Roman"/>
          <w:color w:val="000000"/>
        </w:rPr>
        <w:t>hospitalised</w:t>
      </w:r>
      <w:proofErr w:type="spellEnd"/>
      <w:r>
        <w:rPr>
          <w:rFonts w:ascii="Times New Roman" w:hAnsi="Times New Roman" w:cs="Times New Roman"/>
          <w:color w:val="000000"/>
        </w:rPr>
        <w:t xml:space="preserve"> for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months from 7 January 1998 to 6 May 1998. She sustained the following injuries: a closed fracture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left tibia and fibula; injury to tendon leading to the big toe and the left leg with resulting loss of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power; a closed compound fracture of the scapula; dislocation of the right shoulder joint; and complete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brachial plexus injury with loss of power and sensation of the right upper limb.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she was examined on 23 November 1998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 xml:space="preserve"> he observed that she was walking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stick over her left hand, she walked with a drag of the left lower limb, the upper limb was held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an arm sling, the sensation and power of the whole of the right upper limb was absent, the left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shoulder joint was dislocated with a false joint, the left lower limb was short by about an inch,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flexion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dorsi</w:t>
      </w:r>
      <w:proofErr w:type="spellEnd"/>
      <w:r>
        <w:rPr>
          <w:rFonts w:ascii="Times New Roman" w:hAnsi="Times New Roman" w:cs="Times New Roman"/>
          <w:color w:val="000000"/>
        </w:rPr>
        <w:t>) of the left toe was poor, there was a scar over the lower third of the shin and tenderness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the lower third of the left tibia with a palpable callus, there was palpable callus over the mid-shaft of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femur and tenderness on palpation, and there were multiple bruises over the right upper limb.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Doctor concluded as follows: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“As a result of the accident Jane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Karambu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Gituma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sustained injury to the brachial plexus (nerves) of the right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upper limb, there is resultant loss of motor and sensory activity of the limb. There is also complete dislocation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false joint of the right shoulder. This is a permanent injury and she will require to be on physiotherapy for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rest of her life.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Fracture of the left tibia – fibula which has healed with shortening of the left lower limb and residual pains.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Fracture of right femur which has healed with residual pains”.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Five months later she was examined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Omanga</w:t>
      </w:r>
      <w:proofErr w:type="spellEnd"/>
      <w:r>
        <w:rPr>
          <w:rFonts w:ascii="Times New Roman" w:hAnsi="Times New Roman" w:cs="Times New Roman"/>
          <w:color w:val="000000"/>
        </w:rPr>
        <w:t xml:space="preserve"> on 28 April 1999. He found the same injuries as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895F6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>. She complained of headache, neck pain, pain in the right arm, pain in the right shoulder,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backache and pain in the right and left legs.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Omanga’s</w:t>
      </w:r>
      <w:proofErr w:type="spellEnd"/>
      <w:r>
        <w:rPr>
          <w:rFonts w:ascii="Times New Roman" w:hAnsi="Times New Roman" w:cs="Times New Roman"/>
          <w:color w:val="000000"/>
        </w:rPr>
        <w:t xml:space="preserve"> examination revealed that the Respondent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walked without support and that there was loss of sensation in the right upper arm from below the elbow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hand and loss of power of the right arm. The right shoulder joint was dislocated with a false joint;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swollen mid shaft of the right femur with a palpable callus; shortening of the left leg by about one inch;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 scar on the lower third of the left shin with the same area being hard, swollen and non-tender. 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arrived at the same conclusions on the nature and extent of the Respondent’s injuries as had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895F6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trial, </w:t>
      </w:r>
      <w:proofErr w:type="spellStart"/>
      <w:r>
        <w:rPr>
          <w:rFonts w:ascii="Times New Roman" w:hAnsi="Times New Roman" w:cs="Times New Roman"/>
          <w:color w:val="000000"/>
        </w:rPr>
        <w:t>Aganyanya</w:t>
      </w:r>
      <w:proofErr w:type="spellEnd"/>
      <w:r>
        <w:rPr>
          <w:rFonts w:ascii="Times New Roman" w:hAnsi="Times New Roman" w:cs="Times New Roman"/>
          <w:color w:val="000000"/>
        </w:rPr>
        <w:t xml:space="preserve"> J found 100% liability against the Appellant. He then concluded that the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Respondent’s injuries were severe and she was entitled to substantial damages. He proceeded to make an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of general damages as follows: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Pain and suffering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300 000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racture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Tibia and Fibula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180 000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S oft tissue injuries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50 000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racture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Right femur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100 000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njury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right upper limb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200 000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inear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fracture of right scapula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40 000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7.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uture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medication (physiotherapy)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100 000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970 000”.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The Appellant was dissatisfied with the judgment of </w:t>
      </w:r>
      <w:proofErr w:type="spellStart"/>
      <w:r>
        <w:rPr>
          <w:rFonts w:ascii="Times New Roman" w:hAnsi="Times New Roman" w:cs="Times New Roman"/>
          <w:color w:val="000000"/>
        </w:rPr>
        <w:t>Aganyanya</w:t>
      </w:r>
      <w:proofErr w:type="spellEnd"/>
      <w:r>
        <w:rPr>
          <w:rFonts w:ascii="Times New Roman" w:hAnsi="Times New Roman" w:cs="Times New Roman"/>
          <w:color w:val="000000"/>
        </w:rPr>
        <w:t xml:space="preserve"> J. It appealed to this Court against the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Judge’s findings on liability and quantum of damages on the following five grounds: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The Learned Judge erred in law and fact on holding that the Appellant was liable for the accident when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various liability had not been pleaded at all.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Appellant could not be held liable in law for the acts of an alleged servant in the absence of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pleading. The Appellant cannot in fact drive motor vehicles.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in awarding general damages piece meal for each injury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suffered by the Respondent thus misdirecting himself and departing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correct legal approach where a global award should be made for injuries suffered.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in awarding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100 000 for “future medication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(physiotherapy)” which was not pleaded at all.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award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970 000 general damages was too high and excessive and without any relationship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all with the injuries suffered”.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hearing, of the appeal, counsel for the Appellant abandoned grounds 1 and 2 of the appeal. 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concentrated on attacking the Learned Judge’s decision on quantum. He relied 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Cavito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Difilippo</w:t>
      </w:r>
      <w:proofErr w:type="spellEnd"/>
      <w:r w:rsidR="00895F6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[1957] EA 535 – a decision of the East African Court of Appeal – for the proposition that general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must be assessed on the combined effect of all the injuries on the person injured and not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calculated as the sum of independent assessments for each injury. Counsel submitted that in light of that,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had in awarding general damages piecemeal for each injury misdirected himself and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departed from the correct legal approach where a global award should be made for the injuries suffered.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argued that the effect of the wrong approach by the Judge was that an excessive award of damages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made. He relied on the cases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civil case number 1559 of 1988 (UR)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an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in general damages for pain and suffering resulting from fracture of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left femur and soft tissue injuries to the elbow, back and face was made in 1993;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civil case number 1637 of 1990 (UR) where an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230 00 in general damages for pain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suffering as a result of fracture of the left tibia and double fracture of the left fibula was made in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1993;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Oppon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 civil case number 4621 of 1988 (UR) where an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400 000 in general da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mages for pain, suffering and loss of amenities resulting from fracture of left tibia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fibula, injury to the left knee, cervical spine, left foot and left brachial plexus was made in 1994. 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that an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500 000 would have been adequate compensation to the Respondent.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urging us to reduce the award, counsel for the Appellant, 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Zein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</w:t>
      </w:r>
      <w:r w:rsidR="00895F67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[1994] LLR 353 (CAK) where this Court after referring to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Ilanga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Manyoka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 705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Kemfro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Africa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Luvai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[1988] I KAR 727 stated the pertinent law as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principles to be observed by an appellate court in deciding whether it is justified in disturbing the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quantum of damages awarded by a trial court are well settled. The appellate court must be satisfied either that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Judge, in assessing the damages, took into account an irrelevant factor, or left out of account a relevant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one, or that the amount is so inordinately low or so inordinately high that it must be a wholly erroneous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estimate of damage”.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canvassing ground 4 of the appeal, counsel submitted that future medication (physiotherapy) was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special damages which ought to have been pleaded, but was not and,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accordingly, the Judge erred in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an award therefor.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Respondent, in reply to the above submissions conceded that the trial court applied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wrong principles in making separate awards for the several injuries but submitted that such an error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fatal to the award. He also relied on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Cavito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Fillipo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In his view,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injuries suffered by the Respondent could have attracted an even higher award even if the Judge had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the correct approach. Counsel for the Respondent also submitted that the case relied on by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concerned injuries of lesser magnitude than those suffered by the Respondent. He also asked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 to consider inflation since those awards were made in the early 1990’s. He beseeched us not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>Page 95 of [2004] 1 EA 91 (CAK)</w:t>
      </w:r>
      <w:r w:rsidR="00895F67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to interfere with the award. As regards the damages awarded for cost of future medical care, counsel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Judge was in error.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considered the submissions made to us by the learned advocates. As the Appellant has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abandoned grounds 1 and 2 of the appeal, we are only concerned with the issue of quantum of damages.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regard, both the East African Court of Appeal (the predecessor of this Court) and this Court itself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consistently maintained that an appellate court will not interfere with the quantum of damages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awarded by a trial court unless it is satisfied either that the </w:t>
      </w:r>
      <w:r>
        <w:rPr>
          <w:rFonts w:ascii="Times New Roman" w:hAnsi="Times New Roman" w:cs="Times New Roman"/>
          <w:color w:val="000000"/>
        </w:rPr>
        <w:lastRenderedPageBreak/>
        <w:t>trial court acted on a wrong principle of law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(as by taking into account some irrelevant factor or leaving out of account some relevant one or adopting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wrong approach), or it has misapprehended the facts, or for those or any other reasons the award was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inordinately high or low as to represent a wholly erroneous estimate of damages (see, for example</w:t>
      </w:r>
      <w:r>
        <w:rPr>
          <w:rFonts w:ascii="Times New Roman" w:hAnsi="Times New Roman" w:cs="Times New Roman"/>
          <w:i/>
          <w:iCs/>
          <w:color w:val="000000"/>
        </w:rPr>
        <w:t>,</w:t>
      </w:r>
      <w:r w:rsidR="00895F67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Kampala Aerated Water Co Ltd </w:t>
      </w:r>
      <w:r>
        <w:rPr>
          <w:rFonts w:ascii="Times New Roman" w:hAnsi="Times New Roman" w:cs="Times New Roman"/>
          <w:color w:val="000000"/>
        </w:rPr>
        <w:t xml:space="preserve">[1965] EA 587, </w:t>
      </w:r>
      <w:r>
        <w:rPr>
          <w:rFonts w:ascii="Times New Roman" w:hAnsi="Times New Roman" w:cs="Times New Roman"/>
          <w:i/>
          <w:iCs/>
          <w:color w:val="000000"/>
        </w:rPr>
        <w:t xml:space="preserve">Idi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Shabani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Nairobi City Council </w:t>
      </w:r>
      <w:r>
        <w:rPr>
          <w:rFonts w:ascii="Times New Roman" w:hAnsi="Times New Roman" w:cs="Times New Roman"/>
          <w:color w:val="000000"/>
        </w:rPr>
        <w:t>[1982–88]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 KAR 681, </w:t>
      </w:r>
      <w:r>
        <w:rPr>
          <w:rFonts w:ascii="Times New Roman" w:hAnsi="Times New Roman" w:cs="Times New Roman"/>
          <w:i/>
          <w:iCs/>
          <w:color w:val="000000"/>
        </w:rPr>
        <w:t xml:space="preserve">Butt v Khan </w:t>
      </w:r>
      <w:r>
        <w:rPr>
          <w:rFonts w:ascii="Times New Roman" w:hAnsi="Times New Roman" w:cs="Times New Roman"/>
          <w:color w:val="000000"/>
        </w:rPr>
        <w:t xml:space="preserve">[1981] KLR 349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Kimotho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Vesters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[1988] KLR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48).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as regards future medication (physiotherapy), the law is also well established that although an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of damages to meet the cost thereof is made under the rubric of general damages, the need for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future medical care is itself special damage and is a fact that must be pleaded if evidence thereon is to be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led and the court is to make an award in respect thereof. That follows from the general principle that all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losses other than those which the law does contemplate as arising naturally from the infringement of a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person’s legal right should be pleaded. As Lord Donovan put it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Perestrello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United Paint </w:t>
      </w:r>
      <w:r>
        <w:rPr>
          <w:rFonts w:ascii="Times New Roman" w:hAnsi="Times New Roman" w:cs="Times New Roman"/>
          <w:color w:val="000000"/>
        </w:rPr>
        <w:t>[1969] I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WLR 570, at 590: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a Plaintiff has suffered damages of a kind which is not the necessary and immediate consequence of the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wrongful act, he must warn the Defendant in the pleadings that the compensation claimed will extend to this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damage, thus showing the Defendant the case he has to meet”.</w:t>
      </w:r>
      <w:r w:rsidR="00895F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personal injury cases, the only damage that is contemplated by the law as arising naturally is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personal injury itself and the consequential pain and suffering. Accordingly, matters pertaining to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hospitalisation</w:t>
      </w:r>
      <w:proofErr w:type="spellEnd"/>
      <w:r>
        <w:rPr>
          <w:rFonts w:ascii="Times New Roman" w:hAnsi="Times New Roman" w:cs="Times New Roman"/>
          <w:color w:val="000000"/>
        </w:rPr>
        <w:t>, treatment and management, the need for further medical care, the disabilities and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attendant pecuniary losses (past and future) are special damages which must be pleaded. Happily, in this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it was common ground that the element of the cost of future medical care in the form of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physiotherapy was a special damage, which needed to have been pleaded, but was not pleaded although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made an award to meet the same.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do those principles impact on this case? As pointed out earlier, counsel for the Respondent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in making separate awards for the several injuries, the trial Judge applied the wrong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principle. The concession was most apposite for the law is clear that in personal injury cases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 is to be made for heads of loss or damage and not heads of injury. As the East African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Appeal said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Cavito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Difilippo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the general damages must be assessed on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combined effect of all the injuries on the person injured and not calculated as the sum of independent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assessments for each injury. Be that as it is </w:t>
      </w:r>
      <w:proofErr w:type="gramStart"/>
      <w:r>
        <w:rPr>
          <w:rFonts w:ascii="Times New Roman" w:hAnsi="Times New Roman" w:cs="Times New Roman"/>
          <w:color w:val="000000"/>
        </w:rPr>
        <w:t>may</w:t>
      </w:r>
      <w:proofErr w:type="gramEnd"/>
      <w:r>
        <w:rPr>
          <w:rFonts w:ascii="Times New Roman" w:hAnsi="Times New Roman" w:cs="Times New Roman"/>
          <w:color w:val="000000"/>
        </w:rPr>
        <w:t xml:space="preserve">, the application of the wrong principle </w:t>
      </w:r>
      <w:r>
        <w:rPr>
          <w:rFonts w:ascii="Times New Roman" w:hAnsi="Times New Roman" w:cs="Times New Roman"/>
          <w:i/>
          <w:iCs/>
          <w:color w:val="000000"/>
        </w:rPr>
        <w:t xml:space="preserve">per se </w:t>
      </w:r>
      <w:r>
        <w:rPr>
          <w:rFonts w:ascii="Times New Roman" w:hAnsi="Times New Roman" w:cs="Times New Roman"/>
          <w:color w:val="000000"/>
        </w:rPr>
        <w:t>will not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in the quantum of damages being disturbed. If the appellate court is satisfied that the sum awarded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more than should have been awarded had the damages been assessed on the correct basis, it will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upset the award. In the matter at hand, we have, after careful consideration of the cases cited to us by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>Page 96 of [2004] 1 EA 91 (CAK)</w:t>
      </w:r>
      <w:r w:rsidR="00895F67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Appellant, observed that they involved injuries of lesser magnitude than those suffered by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herein and that the awards in question were made about ten years ago. Taking into account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inflation has taken a toll on the value of the shilling over the past 10 years and the seriousness of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injuries suffered by the Appellant, we are of the view that although the trial court acted on the wrong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principle, the sum awarded was no more than could reasonably have been awarded had the damages for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pain, suffering and loss of amenities been assessed on the correct basis. Accordingly, we are disinclined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disturb the award of general damages pertaining to the injuries sustained by the Respondent. As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regards the award made to meet the cost of future medication, the same must obviously be disallowed as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need for future medical care was not pleaded and the Judge was, accordingly, wrong to make an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in respect thereof.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upshot of the matter is that the appeal is allowed to the extent that the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970 000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the rubric of general damages is substituted with an award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870 000. As regards costs, we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that the Appellant having succeeded to a small extent only, it should get only one quarter of the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the appeal.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Those, then, are the orders of this Court.</w:t>
      </w:r>
      <w:r w:rsidR="00895F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AD5211" w:rsidRDefault="00AD5211" w:rsidP="00AD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AD5211" w:rsidP="00AD5211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11"/>
    <w:rsid w:val="0021070D"/>
    <w:rsid w:val="00895F67"/>
    <w:rsid w:val="00A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2062-0FAE-400F-ACEF-AF2BD401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2018-07-04T14:07:00Z</dcterms:created>
  <dcterms:modified xsi:type="dcterms:W3CDTF">2018-07-12T20:05:00Z</dcterms:modified>
</cp:coreProperties>
</file>