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Shell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Kobil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Petroleum Limited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57/06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Setting aside an award – Whether arbitrators went beyond the scope of their duties –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Consideration of public policy.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Court of Appeal Rules – Factors for court to consider before granting leave to appeal.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473FF" w:rsidRDefault="002105AF" w:rsidP="00047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Kenya Shell Limited, the applicant, and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Petroleum Limited, the respondent herein were bound by a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agreement under which Shell undertook to blend, supply or deliver blended lubricants to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for resale to </w:t>
      </w:r>
      <w:proofErr w:type="spellStart"/>
      <w:r>
        <w:rPr>
          <w:rFonts w:ascii="Times New Roman" w:hAnsi="Times New Roman" w:cs="Times New Roman"/>
          <w:color w:val="000000"/>
        </w:rPr>
        <w:t>Kobil’s</w:t>
      </w:r>
      <w:proofErr w:type="spellEnd"/>
      <w:r>
        <w:rPr>
          <w:rFonts w:ascii="Times New Roman" w:hAnsi="Times New Roman" w:cs="Times New Roman"/>
          <w:color w:val="000000"/>
        </w:rPr>
        <w:t xml:space="preserve"> customers. To facilitate this,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would furnish Shell with the necessary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formulations and specifications, and also the base oils required for blending. They would also, upon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of the product by Shell, pay for it.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termination clause for the agreement was that it would be in force for twelve months from 15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1990 and to be automatically renewed for a similar period unless terminated by either party giving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six </w:t>
      </w:r>
      <w:proofErr w:type="spellStart"/>
      <w:r>
        <w:rPr>
          <w:rFonts w:ascii="Times New Roman" w:hAnsi="Times New Roman" w:cs="Times New Roman"/>
          <w:color w:val="000000"/>
        </w:rPr>
        <w:t>months notice</w:t>
      </w:r>
      <w:proofErr w:type="spellEnd"/>
      <w:r>
        <w:rPr>
          <w:rFonts w:ascii="Times New Roman" w:hAnsi="Times New Roman" w:cs="Times New Roman"/>
          <w:color w:val="000000"/>
        </w:rPr>
        <w:t xml:space="preserve"> in writing without recourse to the clause. Shell wrote to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on 17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2000 informing them that they would no longer use the formulations and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specifications provided to them by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from Castrol Limited, another oil company. By 23 November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 Shell had stopped the blending of the lubricants altogether although they had in stock large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quantities of base oils supplied by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for that purpose.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felt aggrieved by the sudden repudiation of the contract and went to court in March 2001 and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a court order enjoining Shell to blend the lubricants pending the resolution of their dispute by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arbitration. The parties appointed a tribunal which heard them and determined the dispute on all issues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to it. The award was filed in court on 6 February 2004. Shell however was not happy with it.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therefore sought setting aside of the award and invoked section 35(2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)(iv) of the Arbitration Act 4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1995.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found that the mandate or jurisdiction of the tribunal was given to it by the parties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express unambiguous terms when the parties, by consent, submitted the issues for determination and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did not deal with any question outside or beyond the scope of those issues. On the issue of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negligence, the Superior Court found that the issue did not arise, firstly, by virtue of the issues referred to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which said nothing about negligence, and secondly, because all the dispositions on both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sided dwelt on breach of contract. The tribunal would have gone beyond the scope of its terms of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if it had made a decision on negligence without supporting evidence. Finally the Superior Court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 argument advanced on behalf of Shell that the tribunal misunderstood or misinterpreted the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in their interpretation of clause 18 was not tenable. Questions of law could only be raised on the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stringent terms stated under section 39 of the Arbitration Act but the section had not been invoked. The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dismissed with costs. Shell therefore filed an application and the present application for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to appeal.</w:t>
      </w:r>
      <w:r w:rsidR="000473FF">
        <w:rPr>
          <w:rFonts w:ascii="Times New Roman" w:hAnsi="Times New Roman" w:cs="Times New Roman"/>
          <w:color w:val="000000"/>
        </w:rPr>
        <w:t xml:space="preserve"> </w:t>
      </w:r>
    </w:p>
    <w:p w:rsidR="000473FF" w:rsidRDefault="000473FF" w:rsidP="00047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05AF" w:rsidRDefault="002105AF" w:rsidP="00047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Whether or not the court would grant leave to appeal is a matter for the discretion of the court. As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all discretions exercisable by courts, however it has to be judicially considered. The approach will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naturally differ depending on the category and subject matter of the decision and the reason for seeking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appeal.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Advocates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[2002] 2 KLR 391;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Yakub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t/a Yasser Butchery v Nasa and others </w:t>
      </w:r>
      <w:r>
        <w:rPr>
          <w:rFonts w:ascii="Times New Roman" w:hAnsi="Times New Roman" w:cs="Times New Roman"/>
          <w:color w:val="000000"/>
        </w:rPr>
        <w:t>civil application number Nairobi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284 of 1999 (UR) followed).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is one of several dispute resolution methods that parties may choose to adopt outside the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in this country. The parties may either opt for it in the course of litigation under Order XLV of the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 or provide for it in contractual obligations in which even the Arbitration Act 4 of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1995 would apply and the courts take a back seat. The Act which came into operation on 2 January 1996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rules thereunder repealed and replaced Chapter 49 of the laws of Kenya and the rules thereunder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had governed arbitration matters since 1968. A comparison of the two pieces of </w:t>
      </w:r>
      <w:r>
        <w:rPr>
          <w:rFonts w:ascii="Times New Roman" w:hAnsi="Times New Roman" w:cs="Times New Roman"/>
          <w:color w:val="000000"/>
        </w:rPr>
        <w:lastRenderedPageBreak/>
        <w:t>legislation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underscores an important message introduced by the latter Act: the finality of disputes and a severe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of access to the courts.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policy is an indeterminate principle or doctrine which the court must consider in the exercise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discretion. It has reference to ideas which for the time being prevail in a country as to the conditions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ensure its welfare. It is variable and must fluctuate with the circumstance of the time.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Richardson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Mellish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(1824) 2 Bing 229; </w:t>
      </w:r>
      <w:r>
        <w:rPr>
          <w:rFonts w:ascii="Times New Roman" w:hAnsi="Times New Roman" w:cs="Times New Roman"/>
          <w:i/>
          <w:iCs/>
          <w:color w:val="000000"/>
        </w:rPr>
        <w:t>Christ for All Nationals v Apollo Insurance Company Limited</w:t>
      </w:r>
      <w:r w:rsidR="000473F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[2002] 2 EA 366 applied).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Public policy considerations may endure in favour of granting leave to appeal as they would to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discourage it. As a matter of public policy, it is in the public interest that there should be an end to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and the Arbitration Act under which the proceedings in this matter were conducted underscores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policy. There is neither a realistic prospect of success of the intended appeal nor a ground of appeal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merits serious judicial consideration.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ground taken up by the applicant to challenge the award was under section 35(2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)(iv) of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act. The plain reading of that provision and the issues submitted to the tribunal for adjudication does</w:t>
      </w:r>
      <w:r w:rsidR="000473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reveal that the tribunal went outside its jurisdiction.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Christ for All Nationals v Apollo Insurance Company Limited </w:t>
      </w:r>
      <w:r>
        <w:rPr>
          <w:rFonts w:ascii="Times New Roman" w:hAnsi="Times New Roman" w:cs="Times New Roman"/>
          <w:color w:val="000000"/>
        </w:rPr>
        <w:t xml:space="preserve">[2002] 2 EA 366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Kihuni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Gakunga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[1986] KLR 572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Advocates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[2002] 2 KLR 391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Yakub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t/a Yasser Butchery v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Nasa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application number Nairobi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284 of 1999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Photo Productions Limited v Securicor </w:t>
      </w:r>
      <w:r>
        <w:rPr>
          <w:rFonts w:ascii="Times New Roman" w:hAnsi="Times New Roman" w:cs="Times New Roman"/>
          <w:color w:val="000000"/>
        </w:rPr>
        <w:t>[1980] 1 All ER 557</w:t>
      </w:r>
    </w:p>
    <w:p w:rsidR="002105AF" w:rsidRDefault="002105AF" w:rsidP="002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Others</w:t>
      </w:r>
    </w:p>
    <w:p w:rsidR="00AB7022" w:rsidRDefault="002105AF" w:rsidP="002105AF">
      <w:r>
        <w:rPr>
          <w:rFonts w:ascii="Times New Roman" w:hAnsi="Times New Roman" w:cs="Times New Roman"/>
          <w:i/>
          <w:iCs/>
          <w:color w:val="000000"/>
        </w:rPr>
        <w:t xml:space="preserve">Richardson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Mellish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[1824] 2 Bing 229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AF"/>
    <w:rsid w:val="000473FF"/>
    <w:rsid w:val="002105AF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2684-02E3-4C31-8C48-29B705C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2018-07-05T06:23:00Z</dcterms:created>
  <dcterms:modified xsi:type="dcterms:W3CDTF">2018-07-12T20:10:00Z</dcterms:modified>
</cp:coreProperties>
</file>