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BB6" w:rsidRDefault="00803BB6" w:rsidP="0080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Kenya Shell Limited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Kobil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Petroleum Limited</w:t>
      </w:r>
    </w:p>
    <w:p w:rsidR="00803BB6" w:rsidRDefault="00803BB6" w:rsidP="0080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Kenya at Nairobi</w:t>
      </w:r>
    </w:p>
    <w:p w:rsidR="00803BB6" w:rsidRDefault="00803BB6" w:rsidP="0080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10 November 2006</w:t>
      </w:r>
    </w:p>
    <w:p w:rsidR="00803BB6" w:rsidRDefault="00803BB6" w:rsidP="0080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57/06</w:t>
      </w:r>
    </w:p>
    <w:p w:rsidR="00803BB6" w:rsidRDefault="00803BB6" w:rsidP="0080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Omolo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Waki</w:t>
      </w:r>
      <w:proofErr w:type="spellEnd"/>
      <w:r>
        <w:rPr>
          <w:rFonts w:ascii="Times New Roman" w:hAnsi="Times New Roman" w:cs="Times New Roman"/>
          <w:color w:val="000000"/>
        </w:rPr>
        <w:t xml:space="preserve"> and Onyango </w:t>
      </w:r>
      <w:proofErr w:type="spellStart"/>
      <w:r>
        <w:rPr>
          <w:rFonts w:ascii="Times New Roman" w:hAnsi="Times New Roman" w:cs="Times New Roman"/>
          <w:color w:val="000000"/>
        </w:rPr>
        <w:t>Otieno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803BB6" w:rsidRDefault="00803BB6" w:rsidP="0080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803BB6" w:rsidRDefault="00803BB6" w:rsidP="0080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R </w:t>
      </w:r>
      <w:proofErr w:type="spellStart"/>
      <w:r>
        <w:rPr>
          <w:rFonts w:ascii="Times New Roman" w:hAnsi="Times New Roman" w:cs="Times New Roman"/>
          <w:color w:val="000000"/>
        </w:rPr>
        <w:t>Rogo</w:t>
      </w:r>
      <w:proofErr w:type="spellEnd"/>
    </w:p>
    <w:p w:rsidR="00803BB6" w:rsidRDefault="00803BB6" w:rsidP="0080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Arbitration – Setting aside an award – Whether arbitrators went beyond the scope of their duties –</w:t>
      </w:r>
    </w:p>
    <w:p w:rsidR="00803BB6" w:rsidRDefault="00803BB6" w:rsidP="0080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Consideration of public policy.</w:t>
      </w:r>
    </w:p>
    <w:p w:rsidR="00803BB6" w:rsidRDefault="00803BB6" w:rsidP="0080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Court of Appeal Rules – Factors for court to consider before granting leave to appeal.</w:t>
      </w:r>
    </w:p>
    <w:p w:rsidR="00803BB6" w:rsidRDefault="007E6620" w:rsidP="007E66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RULING</w:t>
      </w:r>
    </w:p>
    <w:p w:rsidR="00803BB6" w:rsidRDefault="00803BB6" w:rsidP="0080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Omolo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Waki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and Onyango-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Otieno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JJA: </w:t>
      </w:r>
      <w:r>
        <w:rPr>
          <w:rFonts w:ascii="Times New Roman" w:hAnsi="Times New Roman" w:cs="Times New Roman"/>
          <w:color w:val="000000"/>
        </w:rPr>
        <w:t>Although the record of the application before us looks</w:t>
      </w:r>
    </w:p>
    <w:p w:rsidR="007E6620" w:rsidRDefault="00803BB6" w:rsidP="0080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voluminous</w:t>
      </w:r>
      <w:proofErr w:type="gramEnd"/>
      <w:r>
        <w:rPr>
          <w:rFonts w:ascii="Times New Roman" w:hAnsi="Times New Roman" w:cs="Times New Roman"/>
          <w:color w:val="000000"/>
        </w:rPr>
        <w:t xml:space="preserve"> and arguments of counsel were protracted, the matter that arises for determination is fairly</w:t>
      </w:r>
      <w:r w:rsidR="007E66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straightforward. It is whether we should grant leave to the applicant to appeal against the order of the</w:t>
      </w:r>
      <w:r w:rsidR="007E66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Superior Court made on 14 February 2006 in High Court </w:t>
      </w:r>
      <w:proofErr w:type="spellStart"/>
      <w:r>
        <w:rPr>
          <w:rFonts w:ascii="Times New Roman" w:hAnsi="Times New Roman" w:cs="Times New Roman"/>
          <w:color w:val="000000"/>
        </w:rPr>
        <w:t>miscellanous</w:t>
      </w:r>
      <w:proofErr w:type="spellEnd"/>
      <w:r>
        <w:rPr>
          <w:rFonts w:ascii="Times New Roman" w:hAnsi="Times New Roman" w:cs="Times New Roman"/>
          <w:color w:val="000000"/>
        </w:rPr>
        <w:t xml:space="preserve"> civil application number 59 of</w:t>
      </w:r>
      <w:r w:rsidR="007E66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2004. Issues raised by the respondent at a preliminary stage as to whether this Court had any power to</w:t>
      </w:r>
      <w:r w:rsidR="007E66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entertain such an application in the first place, were resolved by a majority decision of this Court</w:t>
      </w:r>
      <w:r w:rsidR="007E6620">
        <w:rPr>
          <w:rFonts w:ascii="Times New Roman" w:hAnsi="Times New Roman" w:cs="Times New Roman"/>
          <w:color w:val="000000"/>
        </w:rPr>
        <w:t xml:space="preserve">  </w:t>
      </w:r>
    </w:p>
    <w:p w:rsidR="007E6620" w:rsidRDefault="007E6620" w:rsidP="0080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7E6620" w:rsidRDefault="00803BB6" w:rsidP="0080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000000"/>
        </w:rPr>
        <w:t>Omolo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O’Kubasu</w:t>
      </w:r>
      <w:proofErr w:type="spellEnd"/>
      <w:r>
        <w:rPr>
          <w:rFonts w:ascii="Times New Roman" w:hAnsi="Times New Roman" w:cs="Times New Roman"/>
          <w:color w:val="000000"/>
        </w:rPr>
        <w:t xml:space="preserve"> and Onyango-</w:t>
      </w:r>
      <w:proofErr w:type="spellStart"/>
      <w:r>
        <w:rPr>
          <w:rFonts w:ascii="Times New Roman" w:hAnsi="Times New Roman" w:cs="Times New Roman"/>
          <w:color w:val="000000"/>
        </w:rPr>
        <w:t>Otieno</w:t>
      </w:r>
      <w:proofErr w:type="spellEnd"/>
      <w:r>
        <w:rPr>
          <w:rFonts w:ascii="Times New Roman" w:hAnsi="Times New Roman" w:cs="Times New Roman"/>
          <w:color w:val="000000"/>
        </w:rPr>
        <w:t xml:space="preserve"> JJA dissenting) made on 5 April 2006. We revert therefore to</w:t>
      </w:r>
      <w:r w:rsidR="007E66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jurisdiction exercisable by the court under rule 39 of the Rules of this Court which provides in</w:t>
      </w:r>
      <w:r w:rsidR="007E66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relevant part as follows:</w:t>
      </w:r>
      <w:r w:rsidR="007E66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“39 </w:t>
      </w:r>
      <w:r w:rsidR="007E662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7E6620" w:rsidRDefault="007E6620" w:rsidP="0080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7E6620" w:rsidRPr="007E6620" w:rsidRDefault="00803BB6" w:rsidP="0080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Where an appeal lies with the leave of the court, application for such leave shall be made in the</w:t>
      </w:r>
      <w:r w:rsidR="007E662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manner laid down in rules 42 and 43 within fourteen days of the decision against which it is desired to</w:t>
      </w:r>
      <w:r w:rsidR="007E662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appeal or, where application for leave to appeal has been made to the Superior Court and refused,</w:t>
      </w:r>
      <w:r w:rsidR="007E662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within fourteen days of such refusal.”</w:t>
      </w:r>
      <w:r w:rsidR="007E662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salient facts behind the application are common ground and may be related briefly. The two</w:t>
      </w:r>
      <w:r w:rsidR="007E66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combatants, Kenya Shell </w:t>
      </w:r>
      <w:proofErr w:type="gramStart"/>
      <w:r>
        <w:rPr>
          <w:rFonts w:ascii="Times New Roman" w:hAnsi="Times New Roman" w:cs="Times New Roman"/>
          <w:color w:val="000000"/>
        </w:rPr>
        <w:t xml:space="preserve">Limited </w:t>
      </w:r>
      <w:r w:rsidR="007E66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hereinafter</w:t>
      </w:r>
      <w:proofErr w:type="gramEnd"/>
      <w:r>
        <w:rPr>
          <w:rFonts w:ascii="Times New Roman" w:hAnsi="Times New Roman" w:cs="Times New Roman"/>
          <w:color w:val="000000"/>
        </w:rPr>
        <w:t xml:space="preserve"> “Shell” or “the applicant”) and </w:t>
      </w:r>
      <w:proofErr w:type="spellStart"/>
      <w:r>
        <w:rPr>
          <w:rFonts w:ascii="Times New Roman" w:hAnsi="Times New Roman" w:cs="Times New Roman"/>
          <w:color w:val="000000"/>
        </w:rPr>
        <w:t>Kobil</w:t>
      </w:r>
      <w:proofErr w:type="spellEnd"/>
      <w:r>
        <w:rPr>
          <w:rFonts w:ascii="Times New Roman" w:hAnsi="Times New Roman" w:cs="Times New Roman"/>
          <w:color w:val="000000"/>
        </w:rPr>
        <w:t xml:space="preserve"> Petroleum Limited</w:t>
      </w:r>
      <w:r w:rsidR="007E6620">
        <w:rPr>
          <w:rFonts w:ascii="Times New Roman" w:hAnsi="Times New Roman" w:cs="Times New Roman"/>
          <w:color w:val="000000"/>
        </w:rPr>
        <w:t xml:space="preserve"> 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 xml:space="preserve"> “</w:t>
      </w:r>
      <w:proofErr w:type="spellStart"/>
      <w:r>
        <w:rPr>
          <w:rFonts w:ascii="Times New Roman" w:hAnsi="Times New Roman" w:cs="Times New Roman"/>
          <w:color w:val="000000"/>
        </w:rPr>
        <w:t>Kobil</w:t>
      </w:r>
      <w:proofErr w:type="spellEnd"/>
      <w:r>
        <w:rPr>
          <w:rFonts w:ascii="Times New Roman" w:hAnsi="Times New Roman" w:cs="Times New Roman"/>
          <w:color w:val="000000"/>
        </w:rPr>
        <w:t xml:space="preserve"> or “respondent</w:t>
      </w:r>
      <w:r>
        <w:rPr>
          <w:rFonts w:ascii="Times New Roman" w:hAnsi="Times New Roman" w:cs="Times New Roman"/>
          <w:i/>
          <w:iCs/>
          <w:color w:val="000000"/>
        </w:rPr>
        <w:t>”</w:t>
      </w:r>
      <w:r>
        <w:rPr>
          <w:rFonts w:ascii="Times New Roman" w:hAnsi="Times New Roman" w:cs="Times New Roman"/>
          <w:color w:val="000000"/>
        </w:rPr>
        <w:t>) are oil marketing giants in their own rights, operating in this</w:t>
      </w:r>
      <w:r w:rsidR="007E66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country. They acknowledge that they are competitors in the industry, but for ten years between May 1990</w:t>
      </w:r>
      <w:r w:rsidR="007E66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November 2000 they were bound together by a commercial agreement executed on 11 May 1990. By</w:t>
      </w:r>
      <w:r w:rsidR="007E66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agreement Shell, amongst other terms, undertook to blend, supply or deliver blended lubricants to</w:t>
      </w:r>
      <w:r w:rsidR="007E6620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Kobil</w:t>
      </w:r>
      <w:proofErr w:type="spellEnd"/>
      <w:r>
        <w:rPr>
          <w:rFonts w:ascii="Times New Roman" w:hAnsi="Times New Roman" w:cs="Times New Roman"/>
          <w:color w:val="000000"/>
        </w:rPr>
        <w:t xml:space="preserve"> for resale to </w:t>
      </w:r>
      <w:proofErr w:type="spellStart"/>
      <w:r>
        <w:rPr>
          <w:rFonts w:ascii="Times New Roman" w:hAnsi="Times New Roman" w:cs="Times New Roman"/>
          <w:color w:val="000000"/>
        </w:rPr>
        <w:t>Kobil’s</w:t>
      </w:r>
      <w:proofErr w:type="spellEnd"/>
      <w:r>
        <w:rPr>
          <w:rFonts w:ascii="Times New Roman" w:hAnsi="Times New Roman" w:cs="Times New Roman"/>
          <w:color w:val="000000"/>
        </w:rPr>
        <w:t xml:space="preserve"> customers. To facilitate this, </w:t>
      </w:r>
      <w:proofErr w:type="spellStart"/>
      <w:r>
        <w:rPr>
          <w:rFonts w:ascii="Times New Roman" w:hAnsi="Times New Roman" w:cs="Times New Roman"/>
          <w:color w:val="000000"/>
        </w:rPr>
        <w:t>Kobil</w:t>
      </w:r>
      <w:proofErr w:type="spellEnd"/>
      <w:r>
        <w:rPr>
          <w:rFonts w:ascii="Times New Roman" w:hAnsi="Times New Roman" w:cs="Times New Roman"/>
          <w:color w:val="000000"/>
        </w:rPr>
        <w:t xml:space="preserve"> would furnish Shell with the necessary</w:t>
      </w:r>
      <w:r w:rsidR="007E66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formulations and specifications, and also the base oils required for the blending. They would also, upon</w:t>
      </w:r>
      <w:r w:rsidR="007E66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delivery of the product by Shell, pay for it. The termination clause for the agreement was that it would be</w:t>
      </w:r>
      <w:r w:rsidR="007E66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force for twelve months from 15 May 1990 and to be automatically renewed for a similar period unless</w:t>
      </w:r>
      <w:r w:rsidR="007E66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terminated by either party giving the other six </w:t>
      </w:r>
      <w:proofErr w:type="spellStart"/>
      <w:r>
        <w:rPr>
          <w:rFonts w:ascii="Times New Roman" w:hAnsi="Times New Roman" w:cs="Times New Roman"/>
          <w:color w:val="000000"/>
        </w:rPr>
        <w:t>months notice</w:t>
      </w:r>
      <w:proofErr w:type="spellEnd"/>
      <w:r>
        <w:rPr>
          <w:rFonts w:ascii="Times New Roman" w:hAnsi="Times New Roman" w:cs="Times New Roman"/>
          <w:color w:val="000000"/>
        </w:rPr>
        <w:t xml:space="preserve"> in writing. Without recourse to that clause</w:t>
      </w:r>
      <w:r w:rsidR="007E66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however, Shell wrote to </w:t>
      </w:r>
      <w:proofErr w:type="spellStart"/>
      <w:r>
        <w:rPr>
          <w:rFonts w:ascii="Times New Roman" w:hAnsi="Times New Roman" w:cs="Times New Roman"/>
          <w:color w:val="000000"/>
        </w:rPr>
        <w:t>Kobil</w:t>
      </w:r>
      <w:proofErr w:type="spellEnd"/>
      <w:r>
        <w:rPr>
          <w:rFonts w:ascii="Times New Roman" w:hAnsi="Times New Roman" w:cs="Times New Roman"/>
          <w:color w:val="000000"/>
        </w:rPr>
        <w:t xml:space="preserve"> on 17 November 2000 informing them that they would no longer use the</w:t>
      </w:r>
      <w:r w:rsidR="007E66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formulations and specifications provided to them by </w:t>
      </w:r>
      <w:proofErr w:type="spellStart"/>
      <w:r>
        <w:rPr>
          <w:rFonts w:ascii="Times New Roman" w:hAnsi="Times New Roman" w:cs="Times New Roman"/>
          <w:color w:val="000000"/>
        </w:rPr>
        <w:t>Kobil</w:t>
      </w:r>
      <w:proofErr w:type="spellEnd"/>
      <w:r>
        <w:rPr>
          <w:rFonts w:ascii="Times New Roman" w:hAnsi="Times New Roman" w:cs="Times New Roman"/>
          <w:color w:val="000000"/>
        </w:rPr>
        <w:t xml:space="preserve"> from another oil company known as Castrol</w:t>
      </w:r>
      <w:r w:rsidR="007E66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Limited which, as well as Shell, are subsidiaries of British Petroleum International Limited, an overseas</w:t>
      </w:r>
      <w:r w:rsidR="007E66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company. By 23 November 2000 Shell had stopped the blending of the lubricants altogether although</w:t>
      </w:r>
      <w:r w:rsidR="007E66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they had in stock large quantities of base oils supplied by </w:t>
      </w:r>
      <w:proofErr w:type="spellStart"/>
      <w:r>
        <w:rPr>
          <w:rFonts w:ascii="Times New Roman" w:hAnsi="Times New Roman" w:cs="Times New Roman"/>
          <w:color w:val="000000"/>
        </w:rPr>
        <w:t>Kobil</w:t>
      </w:r>
      <w:proofErr w:type="spellEnd"/>
      <w:r>
        <w:rPr>
          <w:rFonts w:ascii="Times New Roman" w:hAnsi="Times New Roman" w:cs="Times New Roman"/>
          <w:color w:val="000000"/>
        </w:rPr>
        <w:t xml:space="preserve"> for that purpose. </w:t>
      </w:r>
      <w:proofErr w:type="spellStart"/>
      <w:r>
        <w:rPr>
          <w:rFonts w:ascii="Times New Roman" w:hAnsi="Times New Roman" w:cs="Times New Roman"/>
          <w:color w:val="000000"/>
        </w:rPr>
        <w:t>Kobil</w:t>
      </w:r>
      <w:proofErr w:type="spellEnd"/>
      <w:r>
        <w:rPr>
          <w:rFonts w:ascii="Times New Roman" w:hAnsi="Times New Roman" w:cs="Times New Roman"/>
          <w:color w:val="000000"/>
        </w:rPr>
        <w:t xml:space="preserve"> felt aggrieved by</w:t>
      </w:r>
      <w:r w:rsidR="007E66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sudden repudiation of the contract. They thought Shell had conspired and colluded with Castrol</w:t>
      </w:r>
      <w:r w:rsidR="007E66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Limited to undermine and </w:t>
      </w:r>
      <w:proofErr w:type="spellStart"/>
      <w:r>
        <w:rPr>
          <w:rFonts w:ascii="Times New Roman" w:hAnsi="Times New Roman" w:cs="Times New Roman"/>
          <w:color w:val="000000"/>
        </w:rPr>
        <w:t>paralyse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Kobil’s</w:t>
      </w:r>
      <w:proofErr w:type="spellEnd"/>
      <w:r>
        <w:rPr>
          <w:rFonts w:ascii="Times New Roman" w:hAnsi="Times New Roman" w:cs="Times New Roman"/>
          <w:color w:val="000000"/>
        </w:rPr>
        <w:t xml:space="preserve"> business and accused Shell of malice. They took some</w:t>
      </w:r>
      <w:r w:rsidR="007E66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measures in mitigation of their loss and eventually went to court in March 2001 and obtained a court</w:t>
      </w:r>
      <w:r w:rsidR="007E66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order enjoining Shell to blend the lubricants pending the resolution of their dispute by arbitration.</w:t>
      </w:r>
      <w:r w:rsidR="007E66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contract between the parties provided that any dispute between them be resolved through</w:t>
      </w:r>
      <w:r w:rsidR="007E66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arbitration. In accordance with that provision, the two parties nominated a retired Judge of the High</w:t>
      </w:r>
      <w:r w:rsidR="007E66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Court, the </w:t>
      </w:r>
      <w:proofErr w:type="spellStart"/>
      <w:r>
        <w:rPr>
          <w:rFonts w:ascii="Times New Roman" w:hAnsi="Times New Roman" w:cs="Times New Roman"/>
          <w:color w:val="000000"/>
        </w:rPr>
        <w:t>Honourable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Justice Edward </w:t>
      </w:r>
      <w:proofErr w:type="spellStart"/>
      <w:r>
        <w:rPr>
          <w:rFonts w:ascii="Times New Roman" w:hAnsi="Times New Roman" w:cs="Times New Roman"/>
          <w:color w:val="000000"/>
        </w:rPr>
        <w:t>Torgbor</w:t>
      </w:r>
      <w:proofErr w:type="spellEnd"/>
      <w:r>
        <w:rPr>
          <w:rFonts w:ascii="Times New Roman" w:hAnsi="Times New Roman" w:cs="Times New Roman"/>
          <w:color w:val="000000"/>
        </w:rPr>
        <w:t xml:space="preserve">, and a retired Senior Advocate,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Bryon </w:t>
      </w:r>
      <w:proofErr w:type="spellStart"/>
      <w:r>
        <w:rPr>
          <w:rFonts w:ascii="Times New Roman" w:hAnsi="Times New Roman" w:cs="Times New Roman"/>
          <w:color w:val="000000"/>
        </w:rPr>
        <w:t>Georgiadis</w:t>
      </w:r>
      <w:proofErr w:type="spellEnd"/>
      <w:r>
        <w:rPr>
          <w:rFonts w:ascii="Times New Roman" w:hAnsi="Times New Roman" w:cs="Times New Roman"/>
          <w:color w:val="000000"/>
        </w:rPr>
        <w:t>,</w:t>
      </w:r>
      <w:r w:rsidR="007E66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arbitrators. The two then, in accordance with the contract, nominated a senior partner in the</w:t>
      </w:r>
      <w:r w:rsidR="007E66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Accounting Firm of Deloitte and </w:t>
      </w:r>
      <w:proofErr w:type="spellStart"/>
      <w:r>
        <w:rPr>
          <w:rFonts w:ascii="Times New Roman" w:hAnsi="Times New Roman" w:cs="Times New Roman"/>
          <w:color w:val="000000"/>
        </w:rPr>
        <w:t>Touche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Daniel </w:t>
      </w:r>
      <w:proofErr w:type="spellStart"/>
      <w:r>
        <w:rPr>
          <w:rFonts w:ascii="Times New Roman" w:hAnsi="Times New Roman" w:cs="Times New Roman"/>
          <w:color w:val="000000"/>
        </w:rPr>
        <w:t>Ndonye</w:t>
      </w:r>
      <w:proofErr w:type="spellEnd"/>
      <w:r>
        <w:rPr>
          <w:rFonts w:ascii="Times New Roman" w:hAnsi="Times New Roman" w:cs="Times New Roman"/>
          <w:color w:val="000000"/>
        </w:rPr>
        <w:t>, to complete the arbitral Tribunal. Before</w:t>
      </w:r>
      <w:r w:rsidR="007E66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that tribunal, </w:t>
      </w:r>
      <w:proofErr w:type="spellStart"/>
      <w:r>
        <w:rPr>
          <w:rFonts w:ascii="Times New Roman" w:hAnsi="Times New Roman" w:cs="Times New Roman"/>
          <w:color w:val="000000"/>
        </w:rPr>
        <w:t>Kobil</w:t>
      </w:r>
      <w:proofErr w:type="spellEnd"/>
      <w:r>
        <w:rPr>
          <w:rFonts w:ascii="Times New Roman" w:hAnsi="Times New Roman" w:cs="Times New Roman"/>
          <w:color w:val="000000"/>
        </w:rPr>
        <w:t xml:space="preserve"> sought in excess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600 million on account of items ranging from loss of</w:t>
      </w:r>
      <w:r w:rsidR="007E66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profits, cost of </w:t>
      </w:r>
      <w:r>
        <w:rPr>
          <w:rFonts w:ascii="Times New Roman" w:hAnsi="Times New Roman" w:cs="Times New Roman"/>
          <w:color w:val="000000"/>
        </w:rPr>
        <w:lastRenderedPageBreak/>
        <w:t>finance on base oils, cost of finance on profit, mitigation costs, loss of goodwill,</w:t>
      </w:r>
      <w:r w:rsidR="007E66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aggravated damages, costs and interest. Shell denied all liability, and so both parties and their advocates</w:t>
      </w:r>
      <w:r w:rsidR="007E66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narrowed down the issues which they submitted to the tribunal by consent. These were:</w:t>
      </w:r>
      <w:r w:rsidR="007E66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</w:t>
      </w:r>
      <w:r w:rsidR="007E662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7E6620" w:rsidRDefault="007E6620" w:rsidP="0080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7E6620" w:rsidRDefault="00803BB6" w:rsidP="0080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Has the respondent breached the parties’ contract by repudiating it?</w:t>
      </w:r>
      <w:r w:rsidR="007E6620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</w:p>
    <w:p w:rsidR="007E6620" w:rsidRDefault="007E6620" w:rsidP="0080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7E6620" w:rsidRDefault="00803BB6" w:rsidP="0080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Whether the respondent was entitled to stop blending lubricants for the claimant using Castrol</w:t>
      </w:r>
      <w:r w:rsidR="007E662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formulations and specifications.</w:t>
      </w:r>
      <w:r w:rsidR="007E6620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</w:p>
    <w:p w:rsidR="007E6620" w:rsidRDefault="007E6620" w:rsidP="0080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7E6620" w:rsidRDefault="00803BB6" w:rsidP="0080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z w:val="20"/>
          <w:szCs w:val="20"/>
        </w:rPr>
        <w:t>) Whether the alleged breach by repudiation was actuated by malice.</w:t>
      </w:r>
      <w:r w:rsidR="007E6620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</w:p>
    <w:p w:rsidR="007E6620" w:rsidRDefault="007E6620" w:rsidP="0080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7E6620" w:rsidRDefault="00803BB6" w:rsidP="0080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 w:cs="Times New Roman"/>
          <w:color w:val="000000"/>
          <w:sz w:val="20"/>
          <w:szCs w:val="20"/>
        </w:rPr>
        <w:t>) Whether the claimant suffered any loss or damage as a result of the breach by repudiation and if so</w:t>
      </w:r>
      <w:r w:rsidR="007E662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what loss or damage.</w:t>
      </w:r>
      <w:r w:rsidR="007E6620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</w:p>
    <w:p w:rsidR="007E6620" w:rsidRDefault="007E6620" w:rsidP="0080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7E6620" w:rsidRDefault="00803BB6" w:rsidP="0080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z w:val="20"/>
          <w:szCs w:val="20"/>
        </w:rPr>
        <w:t>) Whether the claimant failed to mitigate its loss if any.</w:t>
      </w:r>
      <w:r w:rsidR="007E6620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</w:p>
    <w:p w:rsidR="007E6620" w:rsidRDefault="007E6620" w:rsidP="0080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7E6620" w:rsidRDefault="00803BB6" w:rsidP="0080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f</w:t>
      </w:r>
      <w:r>
        <w:rPr>
          <w:rFonts w:ascii="Times New Roman" w:hAnsi="Times New Roman" w:cs="Times New Roman"/>
          <w:color w:val="000000"/>
          <w:sz w:val="20"/>
          <w:szCs w:val="20"/>
        </w:rPr>
        <w:t>) Whether the claimant is entitled to make any claim for damages in view of clause 18 of the contract.</w:t>
      </w:r>
      <w:r w:rsidR="007E6620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</w:p>
    <w:p w:rsidR="007E6620" w:rsidRDefault="007E6620" w:rsidP="0080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7E6620" w:rsidRDefault="00803BB6" w:rsidP="0080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g</w:t>
      </w:r>
      <w:r>
        <w:rPr>
          <w:rFonts w:ascii="Times New Roman" w:hAnsi="Times New Roman" w:cs="Times New Roman"/>
          <w:color w:val="000000"/>
          <w:sz w:val="20"/>
          <w:szCs w:val="20"/>
        </w:rPr>
        <w:t>) Which party is entitled to the costs of the reference and of the award?”</w:t>
      </w:r>
      <w:r w:rsidR="007E662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After hearing ten witnesses on both sides and sifting through two thousand pages of documents over a</w:t>
      </w:r>
      <w:r w:rsidR="007E66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period of two years, the tribunal determined the dispute on all issues and made its award on 17 November</w:t>
      </w:r>
      <w:r w:rsidR="007E66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2003. It </w:t>
      </w:r>
      <w:proofErr w:type="spellStart"/>
      <w:r>
        <w:rPr>
          <w:rFonts w:ascii="Times New Roman" w:hAnsi="Times New Roman" w:cs="Times New Roman"/>
          <w:color w:val="000000"/>
        </w:rPr>
        <w:t>summarised</w:t>
      </w:r>
      <w:proofErr w:type="spellEnd"/>
      <w:r>
        <w:rPr>
          <w:rFonts w:ascii="Times New Roman" w:hAnsi="Times New Roman" w:cs="Times New Roman"/>
          <w:color w:val="000000"/>
        </w:rPr>
        <w:t xml:space="preserve"> the award made in favour of </w:t>
      </w:r>
      <w:proofErr w:type="spellStart"/>
      <w:r>
        <w:rPr>
          <w:rFonts w:ascii="Times New Roman" w:hAnsi="Times New Roman" w:cs="Times New Roman"/>
          <w:color w:val="000000"/>
        </w:rPr>
        <w:t>Kobil</w:t>
      </w:r>
      <w:proofErr w:type="spellEnd"/>
      <w:r>
        <w:rPr>
          <w:rFonts w:ascii="Times New Roman" w:hAnsi="Times New Roman" w:cs="Times New Roman"/>
          <w:color w:val="000000"/>
        </w:rPr>
        <w:t xml:space="preserve"> as follows:</w:t>
      </w:r>
      <w:r w:rsidR="007E66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</w:t>
      </w:r>
      <w:r w:rsidR="007E662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7E6620" w:rsidRDefault="007E6620" w:rsidP="0080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7E6620" w:rsidRDefault="00803BB6" w:rsidP="0080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1) On Loss of Profit the Claimant is awarded the sum of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25 256 483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,28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8 468 420,80 for</w:t>
      </w:r>
      <w:r w:rsidR="007E662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the period 23 November 2000–30 April 2001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 total of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33 724 904,08.</w:t>
      </w:r>
      <w:r w:rsidR="007E6620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</w:p>
    <w:p w:rsidR="007E6620" w:rsidRDefault="007E6620" w:rsidP="0080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7E6620" w:rsidRDefault="00803BB6" w:rsidP="0080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2) On cost of Finance on Base Oils the claim is rejected.</w:t>
      </w:r>
      <w:r w:rsidR="007E6620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</w:p>
    <w:p w:rsidR="007E6620" w:rsidRDefault="007E6620" w:rsidP="0080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7E6620" w:rsidRDefault="00803BB6" w:rsidP="0080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3) On cost of Finance on Profits the Claim is rejected.</w:t>
      </w:r>
      <w:r w:rsidR="007E6620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</w:p>
    <w:p w:rsidR="007E6620" w:rsidRDefault="007E6620" w:rsidP="0080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7E6620" w:rsidRDefault="00803BB6" w:rsidP="0080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4) On Mitigation Costs the claim for price reductions or discounts is rejected but the Claimant is awarded</w:t>
      </w:r>
      <w:r w:rsidR="007E662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152 807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,60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being the total of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105 607,60 and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47 200 awarded per Issue 4</w:t>
      </w:r>
      <w:r w:rsidR="007E662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7E6620" w:rsidRDefault="007E6620" w:rsidP="0080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7E6620" w:rsidRDefault="00803BB6" w:rsidP="0080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iv)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="007E6620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</w:p>
    <w:p w:rsidR="007E6620" w:rsidRDefault="007E6620" w:rsidP="0080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7E6620" w:rsidRDefault="00803BB6" w:rsidP="0080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5) On loss of Goodwill the Claimant is awarded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16 862 452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,04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for loss of revenue due to loss of</w:t>
      </w:r>
      <w:r w:rsidR="007E662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market share and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7 500 000,00 for expenses incurred on restoration of lost market share.</w:t>
      </w:r>
      <w:r w:rsidR="007E6620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</w:p>
    <w:p w:rsidR="007E6620" w:rsidRDefault="007E6620" w:rsidP="0080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7E6620" w:rsidRDefault="00803BB6" w:rsidP="0080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6) There is no award for aggravated damages as the above amounts are deemed adequate compensation in</w:t>
      </w:r>
      <w:r w:rsidR="007E662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all the circumstances of this case.</w:t>
      </w:r>
      <w:r w:rsidR="007E6620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</w:p>
    <w:p w:rsidR="007E6620" w:rsidRDefault="007E6620" w:rsidP="0080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7E6620" w:rsidRDefault="00803BB6" w:rsidP="0080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7) Costs are awarded as determined under issue 7 above. The amounts awarded to the Claimant shall be</w:t>
      </w:r>
      <w:r w:rsidR="007E662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paid within 30 days from the date of this award. In default interest shall be charged on the unpaid</w:t>
      </w:r>
      <w:r w:rsidR="007E662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amount at Court rates from the date of default until payment in full.”</w:t>
      </w:r>
      <w:r w:rsidR="007E662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award was filed in court on 6 February 2004. Shell however was not happy with it. By an application</w:t>
      </w:r>
      <w:r w:rsidR="007E66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filed in the Superior Court and dated 14 February 2004, they sought the setting aside of the award and</w:t>
      </w:r>
      <w:r w:rsidR="007E66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invoked section 35</w:t>
      </w:r>
      <w:r w:rsidR="007E6620">
        <w:rPr>
          <w:rFonts w:ascii="Times New Roman" w:hAnsi="Times New Roman" w:cs="Times New Roman"/>
          <w:color w:val="000000"/>
        </w:rPr>
        <w:t xml:space="preserve"> </w:t>
      </w:r>
    </w:p>
    <w:p w:rsidR="007E6620" w:rsidRDefault="007E6620" w:rsidP="0080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7E6620" w:rsidRDefault="00803BB6" w:rsidP="0080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2)</w:t>
      </w:r>
      <w:r w:rsidR="007E6620">
        <w:rPr>
          <w:rFonts w:ascii="Times New Roman" w:hAnsi="Times New Roman" w:cs="Times New Roman"/>
          <w:color w:val="000000"/>
        </w:rPr>
        <w:t xml:space="preserve"> </w:t>
      </w:r>
    </w:p>
    <w:p w:rsidR="007E6620" w:rsidRDefault="007E6620" w:rsidP="0080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7E6620" w:rsidRDefault="00803BB6" w:rsidP="0080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</w:t>
      </w:r>
      <w:r w:rsidR="007E6620">
        <w:rPr>
          <w:rFonts w:ascii="Times New Roman" w:hAnsi="Times New Roman" w:cs="Times New Roman"/>
          <w:color w:val="000000"/>
        </w:rPr>
        <w:t xml:space="preserve"> </w:t>
      </w:r>
    </w:p>
    <w:p w:rsidR="007E6620" w:rsidRDefault="007E6620" w:rsidP="0080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7E6620" w:rsidRDefault="00803BB6" w:rsidP="0080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</w:rPr>
        <w:t>iv) of the Arbitration Act 4 of 1995 which provides as follows:</w:t>
      </w:r>
      <w:r w:rsidR="007E66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“An arbitral award may be set aside by the High Court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only if </w:t>
      </w:r>
      <w:r>
        <w:rPr>
          <w:rFonts w:ascii="Times New Roman" w:hAnsi="Times New Roman" w:cs="Times New Roman"/>
          <w:color w:val="000000"/>
          <w:sz w:val="20"/>
          <w:szCs w:val="20"/>
        </w:rPr>
        <w:t>the arbitral award deals with a dispute not</w:t>
      </w:r>
      <w:r w:rsidR="007E662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contemplated by or not falling within the terms of reference to arbitration or contains decisions on matters</w:t>
      </w:r>
      <w:r w:rsidR="007E662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beyond the scope of the reference to arbitration, provided </w:t>
      </w: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that if the decision on matters referred to arbitration</w:t>
      </w:r>
      <w:r w:rsidR="007E662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can be separated from those not so referred, only that part of the arbitral award which contains decisions on</w:t>
      </w:r>
      <w:r w:rsidR="007E662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matters not referred to arbitration may be set aside.” </w:t>
      </w:r>
      <w:r w:rsidR="007E662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7E6620" w:rsidRDefault="007E6620" w:rsidP="0080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7E6620" w:rsidRDefault="00803BB6" w:rsidP="0080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Emphasis mine.)</w:t>
      </w:r>
      <w:r w:rsidR="007E662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basic argument upon which the application lay, and the basis on which it was decided, was</w:t>
      </w:r>
      <w:r w:rsidR="007E66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two-fold:</w:t>
      </w:r>
      <w:r w:rsidR="007E66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</w:t>
      </w:r>
      <w:r w:rsidR="007E662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7E6620" w:rsidRDefault="007E6620" w:rsidP="0080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7E6620" w:rsidRDefault="00803BB6" w:rsidP="0080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The arbitrators were required to award </w:t>
      </w:r>
      <w:r w:rsidR="007E662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7E6620" w:rsidRDefault="007E6620" w:rsidP="0080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7E6620" w:rsidRDefault="00803BB6" w:rsidP="0080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sic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) the agreement between the parties dated 11 May 1990. By</w:t>
      </w:r>
      <w:r w:rsidR="007E662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going outside the meaning of clause 18 of the agreement the arbitrators have gone beyond the scope of</w:t>
      </w:r>
      <w:r w:rsidR="007E662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reference.</w:t>
      </w:r>
      <w:r w:rsidR="007E6620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</w:p>
    <w:p w:rsidR="007E6620" w:rsidRDefault="007E6620" w:rsidP="0080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7E6620" w:rsidRDefault="00803BB6" w:rsidP="0080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There has been excess of jurisdiction by the arbitrators.”</w:t>
      </w:r>
      <w:r w:rsidR="007E662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Clause 18 of the contract which was in issue provides:</w:t>
      </w:r>
      <w:r w:rsidR="007E66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“Limitation On Liability</w:t>
      </w:r>
      <w:r w:rsidR="007E662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 no circumstances whatsoever shall Shell be liable for any loss or damage including loss of profit or</w:t>
      </w:r>
      <w:r w:rsidR="007E662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expenditure howsoever caused, whether direct, indirect, consequential, in contract or in tort unless caused by</w:t>
      </w:r>
      <w:r w:rsidR="007E662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negligence of Shell.”</w:t>
      </w:r>
      <w:r w:rsidR="007E662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decision of the Superior Court </w:t>
      </w:r>
      <w:r w:rsidR="007E6620">
        <w:rPr>
          <w:rFonts w:ascii="Times New Roman" w:hAnsi="Times New Roman" w:cs="Times New Roman"/>
          <w:color w:val="000000"/>
        </w:rPr>
        <w:t xml:space="preserve"> </w:t>
      </w:r>
    </w:p>
    <w:p w:rsidR="007E6620" w:rsidRDefault="007E6620" w:rsidP="0080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7E6620" w:rsidRDefault="00803BB6" w:rsidP="0080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Mutungi</w:t>
      </w:r>
      <w:proofErr w:type="spellEnd"/>
      <w:r>
        <w:rPr>
          <w:rFonts w:ascii="Times New Roman" w:hAnsi="Times New Roman" w:cs="Times New Roman"/>
          <w:color w:val="000000"/>
        </w:rPr>
        <w:t xml:space="preserve"> J) did not come expeditiously as it took over one year.</w:t>
      </w:r>
      <w:r w:rsidR="007E66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When it came on 14 February 2006 however, it emphatically rejected the contention that the arbitral</w:t>
      </w:r>
      <w:r w:rsidR="007E66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award dealt with a dispute not contemplated by, or not falling within, the terms of reference to arbitration</w:t>
      </w:r>
      <w:r w:rsidR="007E66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 contains decisions on matters beyond the scope of the reference. The court found that the mandate or</w:t>
      </w:r>
      <w:r w:rsidR="007E66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jurisdiction of the tribunal was given to it by the parties in express unambiguous terms when the parties,</w:t>
      </w:r>
      <w:r w:rsidR="007E66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 consent, submitted the issues for determination and the tribunal did not deal with any question</w:t>
      </w:r>
      <w:r w:rsidR="007E66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outside or beyond the scope of those issues. The contentious exclusionary clause 18 was part of those</w:t>
      </w:r>
      <w:r w:rsidR="007E66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issues and it was considered and a determination of it was made. There could therefore be no basis for</w:t>
      </w:r>
      <w:r w:rsidR="007E66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contention that the award was made contrary to section 35</w:t>
      </w:r>
      <w:r w:rsidR="007E6620">
        <w:rPr>
          <w:rFonts w:ascii="Times New Roman" w:hAnsi="Times New Roman" w:cs="Times New Roman"/>
          <w:color w:val="000000"/>
        </w:rPr>
        <w:t xml:space="preserve"> </w:t>
      </w:r>
    </w:p>
    <w:p w:rsidR="007E6620" w:rsidRDefault="007E6620" w:rsidP="0080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7E6620" w:rsidRDefault="00803BB6" w:rsidP="0080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2)</w:t>
      </w:r>
      <w:r w:rsidR="007E6620">
        <w:rPr>
          <w:rFonts w:ascii="Times New Roman" w:hAnsi="Times New Roman" w:cs="Times New Roman"/>
          <w:color w:val="000000"/>
        </w:rPr>
        <w:t xml:space="preserve"> </w:t>
      </w:r>
    </w:p>
    <w:p w:rsidR="007E6620" w:rsidRDefault="007E6620" w:rsidP="0080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7E6620" w:rsidRDefault="00803BB6" w:rsidP="0080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</w:t>
      </w:r>
      <w:r w:rsidR="007E6620">
        <w:rPr>
          <w:rFonts w:ascii="Times New Roman" w:hAnsi="Times New Roman" w:cs="Times New Roman"/>
          <w:color w:val="000000"/>
        </w:rPr>
        <w:t xml:space="preserve"> </w:t>
      </w:r>
    </w:p>
    <w:p w:rsidR="007E6620" w:rsidRDefault="007E6620" w:rsidP="0080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7E6620" w:rsidRDefault="00803BB6" w:rsidP="0080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iv) </w:t>
      </w:r>
      <w:proofErr w:type="gramStart"/>
      <w:r>
        <w:rPr>
          <w:rFonts w:ascii="Times New Roman" w:hAnsi="Times New Roman" w:cs="Times New Roman"/>
          <w:color w:val="000000"/>
        </w:rPr>
        <w:t>above</w:t>
      </w:r>
      <w:proofErr w:type="gramEnd"/>
      <w:r>
        <w:rPr>
          <w:rFonts w:ascii="Times New Roman" w:hAnsi="Times New Roman" w:cs="Times New Roman"/>
          <w:color w:val="000000"/>
        </w:rPr>
        <w:t>.</w:t>
      </w:r>
      <w:r w:rsidR="007E66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the issue of negligence which Shell argued was neither pleaded nor proved by adduction of</w:t>
      </w:r>
      <w:r w:rsidR="007E66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evidence and therefore afforded a complete answer to the dispute, the Superior Court found that the issue</w:t>
      </w:r>
      <w:r w:rsidR="007E66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did not arise, firstly, by virtue of the issues referred to the tribunal which said nothing about negligence,</w:t>
      </w:r>
      <w:r w:rsidR="007E66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secondly, because all the depositions on both sides dwelt on breach of contract. The tribunal, in the</w:t>
      </w:r>
      <w:r w:rsidR="007E66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Superior Court’s view, would have gone beyond the scope of its terms of reference if it had made a</w:t>
      </w:r>
      <w:r w:rsidR="007E66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decision on negligence without supporting evidence.</w:t>
      </w:r>
      <w:r w:rsidR="007E66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Finally the Superior Court found that the argument advanced on behalf of Shell that the tribunal</w:t>
      </w:r>
      <w:r w:rsidR="007E66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misunderstood or misinterpreted the law in their interpretation of clause 18 was not tenable. Questions of</w:t>
      </w:r>
      <w:r w:rsidR="007E66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law could only be raised on the stringent terms stated under section 39 of the Arbitration Act but the</w:t>
      </w:r>
      <w:r w:rsidR="007E66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 had not been invoked. The award was otherwise a final one as contemplated by the law and by</w:t>
      </w:r>
      <w:r w:rsidR="007E66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parties, and it could not be set aside under section 35</w:t>
      </w:r>
      <w:r w:rsidR="007E6620">
        <w:rPr>
          <w:rFonts w:ascii="Times New Roman" w:hAnsi="Times New Roman" w:cs="Times New Roman"/>
          <w:color w:val="000000"/>
        </w:rPr>
        <w:t xml:space="preserve"> </w:t>
      </w:r>
    </w:p>
    <w:p w:rsidR="007E6620" w:rsidRDefault="007E6620" w:rsidP="0080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7E6620" w:rsidRDefault="00803BB6" w:rsidP="0080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2)</w:t>
      </w:r>
      <w:r w:rsidR="007E6620">
        <w:rPr>
          <w:rFonts w:ascii="Times New Roman" w:hAnsi="Times New Roman" w:cs="Times New Roman"/>
          <w:color w:val="000000"/>
        </w:rPr>
        <w:t xml:space="preserve"> </w:t>
      </w:r>
    </w:p>
    <w:p w:rsidR="007E6620" w:rsidRDefault="007E6620" w:rsidP="0080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7E6620" w:rsidRDefault="00803BB6" w:rsidP="0080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</w:t>
      </w:r>
      <w:r w:rsidR="007E6620">
        <w:rPr>
          <w:rFonts w:ascii="Times New Roman" w:hAnsi="Times New Roman" w:cs="Times New Roman"/>
          <w:color w:val="000000"/>
        </w:rPr>
        <w:t xml:space="preserve"> </w:t>
      </w:r>
    </w:p>
    <w:p w:rsidR="007E6620" w:rsidRDefault="007E6620" w:rsidP="0080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7E6620" w:rsidRDefault="00803BB6" w:rsidP="0080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iv) </w:t>
      </w:r>
      <w:proofErr w:type="gramStart"/>
      <w:r>
        <w:rPr>
          <w:rFonts w:ascii="Times New Roman" w:hAnsi="Times New Roman" w:cs="Times New Roman"/>
          <w:color w:val="000000"/>
        </w:rPr>
        <w:t>as</w:t>
      </w:r>
      <w:proofErr w:type="gramEnd"/>
      <w:r>
        <w:rPr>
          <w:rFonts w:ascii="Times New Roman" w:hAnsi="Times New Roman" w:cs="Times New Roman"/>
          <w:color w:val="000000"/>
        </w:rPr>
        <w:t xml:space="preserve"> sought. The application was</w:t>
      </w:r>
      <w:r w:rsidR="007E66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dismissed with costs. An attempt to seek leave to appeal against the decision was promptly shot down,</w:t>
      </w:r>
      <w:r w:rsidR="007E66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court stating that it would unnecessarily prolong a matter that had already taken long to adjudicate.</w:t>
      </w:r>
      <w:r w:rsidR="007E66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Undaunted by that rejection, Shell now comes before us with the application stated above, which we now</w:t>
      </w:r>
      <w:r w:rsidR="007E66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revert to.</w:t>
      </w:r>
      <w:r w:rsidR="007E66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Whether or not the court would grant leave to appeal is a matter for the discretion of the court. As in</w:t>
      </w:r>
      <w:r w:rsidR="007E66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all discretions exercisable by courts, however, it has to be judicially considered. Some guidance in that</w:t>
      </w:r>
      <w:r w:rsidR="007E66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regard was given by this Court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Machira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t/a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Machira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</w:t>
      </w:r>
      <w:r>
        <w:rPr>
          <w:rFonts w:ascii="Times New Roman" w:hAnsi="Times New Roman" w:cs="Times New Roman"/>
          <w:i/>
          <w:iCs/>
          <w:color w:val="000000"/>
        </w:rPr>
        <w:lastRenderedPageBreak/>
        <w:t xml:space="preserve">Company Advocates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Mwangi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another</w:t>
      </w:r>
      <w:r w:rsidR="007E6620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[2002] 2 KLR 391 as follows:</w:t>
      </w:r>
      <w:r w:rsidR="007E66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 Court will only refuse leave if satisfied that the applicant has no realistic prospects of succeeding on the</w:t>
      </w:r>
      <w:r w:rsidR="007E662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appeal. The use of the word ‘realistic’ makes it clear that fanciful prospect or an unrealistic argument is not</w:t>
      </w:r>
      <w:r w:rsidR="007E662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sufficient. When leave is refused, the Court gives short reasons which are primarily intended to inform the</w:t>
      </w:r>
      <w:r w:rsidR="007E662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applicant why leave is refused. The Court can grant the application even if it is not so satisfied. There can be</w:t>
      </w:r>
      <w:r w:rsidR="007E662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many reasons for granting leave even if the Court is not satisfied that the appeal has no prospects of success.</w:t>
      </w:r>
      <w:r w:rsidR="007E662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For example, the issue may be one which the Court considers should in the public interest be examined by</w:t>
      </w:r>
      <w:r w:rsidR="007E662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this Court or, to be more specific, this Court may take the view that the case raises a novel point or an issue</w:t>
      </w:r>
      <w:r w:rsidR="007E662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where the law requires clarifying. There must, however, almost always be a ground of appeal which merits</w:t>
      </w:r>
      <w:r w:rsidR="007E662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serious judicial consideration.”</w:t>
      </w:r>
      <w:r w:rsidR="007E662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See also </w:t>
      </w:r>
      <w:r>
        <w:rPr>
          <w:rFonts w:ascii="Times New Roman" w:hAnsi="Times New Roman" w:cs="Times New Roman"/>
          <w:i/>
          <w:iCs/>
          <w:color w:val="000000"/>
        </w:rPr>
        <w:t xml:space="preserve">Mohamed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Yakub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another t/a Yasser Butchery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Badur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gramStart"/>
      <w:r>
        <w:rPr>
          <w:rFonts w:ascii="Times New Roman" w:hAnsi="Times New Roman" w:cs="Times New Roman"/>
          <w:i/>
          <w:iCs/>
          <w:color w:val="000000"/>
        </w:rPr>
        <w:t>Nasa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and others </w:t>
      </w:r>
      <w:r>
        <w:rPr>
          <w:rFonts w:ascii="Times New Roman" w:hAnsi="Times New Roman" w:cs="Times New Roman"/>
          <w:color w:val="000000"/>
        </w:rPr>
        <w:t>civil application</w:t>
      </w:r>
      <w:r w:rsidR="007E66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number Nairobi 285 of 1999 </w:t>
      </w:r>
      <w:r w:rsidR="007E6620">
        <w:rPr>
          <w:rFonts w:ascii="Times New Roman" w:hAnsi="Times New Roman" w:cs="Times New Roman"/>
          <w:color w:val="000000"/>
        </w:rPr>
        <w:t xml:space="preserve"> </w:t>
      </w:r>
    </w:p>
    <w:p w:rsidR="007E6620" w:rsidRDefault="007E6620" w:rsidP="0080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7E6620" w:rsidRDefault="00803BB6" w:rsidP="0080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UR) where the court added that the approach will naturally differ</w:t>
      </w:r>
      <w:r w:rsidR="007E66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depending on the category and subject matter of the decision and the reason for seeking leave to appeal.</w:t>
      </w:r>
      <w:r w:rsidR="007E66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is those principles that we shall apply in this matter.</w:t>
      </w:r>
      <w:r w:rsidR="007E66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Learned Counsel for the applicant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Kimani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Kiragu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sought to persuade us that the issues raised and</w:t>
      </w:r>
      <w:r w:rsidR="007E66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arguments advanced but rejected by the Superior Court are fairly weighty and stand a good chance of</w:t>
      </w:r>
      <w:r w:rsidR="007E66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success before this Court. They were also of public importance and ought to be allowed agitation before</w:t>
      </w:r>
      <w:r w:rsidR="007E66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highest court. The crucial issue is this: What is the power or jurisdiction of arbitrators?</w:t>
      </w:r>
      <w:r w:rsidR="007E66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Take this case: there was an agreement under clause 18 by parties who had equal bargaining power</w:t>
      </w:r>
      <w:r w:rsidR="007E66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no loss would ever arise against Shell, whether in contract or in tort, unless negligence was proved. It</w:t>
      </w:r>
      <w:r w:rsidR="007E66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did not matter how onerous, absurd or unreasonable that clause would appear, but it was the contract</w:t>
      </w:r>
      <w:r w:rsidR="007E66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between the parties which no one else including the courts could rewrite. Under section 29</w:t>
      </w:r>
      <w:r w:rsidR="007E6620">
        <w:rPr>
          <w:rFonts w:ascii="Times New Roman" w:hAnsi="Times New Roman" w:cs="Times New Roman"/>
          <w:color w:val="000000"/>
        </w:rPr>
        <w:t xml:space="preserve"> </w:t>
      </w:r>
    </w:p>
    <w:p w:rsidR="007E6620" w:rsidRDefault="007E6620" w:rsidP="0080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7E6620" w:rsidRDefault="00803BB6" w:rsidP="0080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5) </w:t>
      </w:r>
      <w:proofErr w:type="gramStart"/>
      <w:r>
        <w:rPr>
          <w:rFonts w:ascii="Times New Roman" w:hAnsi="Times New Roman" w:cs="Times New Roman"/>
          <w:color w:val="000000"/>
        </w:rPr>
        <w:t>of</w:t>
      </w:r>
      <w:proofErr w:type="gramEnd"/>
      <w:r>
        <w:rPr>
          <w:rFonts w:ascii="Times New Roman" w:hAnsi="Times New Roman" w:cs="Times New Roman"/>
          <w:color w:val="000000"/>
        </w:rPr>
        <w:t xml:space="preserve"> the</w:t>
      </w:r>
      <w:r w:rsidR="007E66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Arbitration Act, an arbitral tribunal is obliged to follow the agreement between the parties. Section 29,</w:t>
      </w:r>
      <w:r w:rsidR="007E66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which makes provision for the rules applicable to the substance of the dispute, provides in subsection </w:t>
      </w:r>
      <w:r w:rsidR="007E6620">
        <w:rPr>
          <w:rFonts w:ascii="Times New Roman" w:hAnsi="Times New Roman" w:cs="Times New Roman"/>
          <w:color w:val="000000"/>
        </w:rPr>
        <w:t xml:space="preserve"> </w:t>
      </w:r>
    </w:p>
    <w:p w:rsidR="007E6620" w:rsidRDefault="007E6620" w:rsidP="0080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7E6620" w:rsidRDefault="00803BB6" w:rsidP="0080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</w:rPr>
        <w:t>5):</w:t>
      </w:r>
      <w:r w:rsidR="007E66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</w:t>
      </w:r>
      <w:r w:rsidR="007E662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7E6620" w:rsidRDefault="007E6620" w:rsidP="0080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7E6620" w:rsidRDefault="00803BB6" w:rsidP="0080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5) In all cases, the arbitral tribunal shall decide in accordance with the terms of the particular contract and</w:t>
      </w:r>
      <w:r w:rsidR="007E662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shall take into account the usages of the trade applicable to the particular transaction.”</w:t>
      </w:r>
      <w:r w:rsidR="007E662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So that, he submitted, all the arbitral tribunal in this matter needed to do was to find out from the</w:t>
      </w:r>
      <w:r w:rsidR="007E66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pleadings and the evidence whether the issue of negligence was pleaded and proved, failing which the</w:t>
      </w:r>
      <w:r w:rsidR="007E66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dispute would end summarily. It was common ground, and the Superior Court so found, that indeed there</w:t>
      </w:r>
      <w:r w:rsidR="007E66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was no issue of negligence raised or proved by </w:t>
      </w:r>
      <w:proofErr w:type="spellStart"/>
      <w:r>
        <w:rPr>
          <w:rFonts w:ascii="Times New Roman" w:hAnsi="Times New Roman" w:cs="Times New Roman"/>
          <w:color w:val="000000"/>
        </w:rPr>
        <w:t>Kobil</w:t>
      </w:r>
      <w:proofErr w:type="spellEnd"/>
      <w:r>
        <w:rPr>
          <w:rFonts w:ascii="Times New Roman" w:hAnsi="Times New Roman" w:cs="Times New Roman"/>
          <w:color w:val="000000"/>
        </w:rPr>
        <w:t xml:space="preserve">. In the event,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Kiragu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submitted, the arbitral</w:t>
      </w:r>
      <w:r w:rsidR="007E66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tribunal acted outside the law when, in construing clause 18, it purported to find that the clause did not</w:t>
      </w:r>
      <w:r w:rsidR="007E66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intend to exclude deliberate non-performance of the contract. That would be a reintroduction of the</w:t>
      </w:r>
      <w:r w:rsidR="007E66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doctrine of fundamental breach which the House of Lords put to rest in </w:t>
      </w:r>
      <w:r>
        <w:rPr>
          <w:rFonts w:ascii="Times New Roman" w:hAnsi="Times New Roman" w:cs="Times New Roman"/>
          <w:i/>
          <w:iCs/>
          <w:color w:val="000000"/>
        </w:rPr>
        <w:t>Photo Productions Limited v</w:t>
      </w:r>
      <w:r w:rsidR="007E6620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Securicor </w:t>
      </w:r>
      <w:r>
        <w:rPr>
          <w:rFonts w:ascii="Times New Roman" w:hAnsi="Times New Roman" w:cs="Times New Roman"/>
          <w:color w:val="000000"/>
        </w:rPr>
        <w:t>[1980] 1 All ER 557, a case approved and followed in our jurisdiction. There was thus excess</w:t>
      </w:r>
      <w:r w:rsidR="007E66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authority or jurisdiction by the arbitrators and it was therefore the duty of a court of law to intervene.</w:t>
      </w:r>
      <w:r w:rsidR="007E6620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Kiragu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further submitted that the introduction of, and reference to, section 39 of the Arbitration</w:t>
      </w:r>
      <w:r w:rsidR="007E66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Act by the Superior Court was irrelevant since it was not invoked by the applicant and such reference</w:t>
      </w:r>
      <w:r w:rsidR="007E66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only served to clog the decision whether clause 18 took the matter outside arbitration. All these were</w:t>
      </w:r>
      <w:r w:rsidR="007E66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issues put forward in the draft memorandum of appeal and, according to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Kiragu</w:t>
      </w:r>
      <w:proofErr w:type="spellEnd"/>
      <w:r>
        <w:rPr>
          <w:rFonts w:ascii="Times New Roman" w:hAnsi="Times New Roman" w:cs="Times New Roman"/>
          <w:color w:val="000000"/>
        </w:rPr>
        <w:t>, they merit serious</w:t>
      </w:r>
      <w:r w:rsidR="007E66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consideration by this Court.</w:t>
      </w:r>
      <w:r w:rsidR="007E66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On the other hand,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Oyast</w:t>
      </w:r>
      <w:r>
        <w:rPr>
          <w:rFonts w:ascii="Times New Roman" w:hAnsi="Times New Roman" w:cs="Times New Roman"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 xml:space="preserve">, learned Counsel for </w:t>
      </w:r>
      <w:proofErr w:type="spellStart"/>
      <w:r>
        <w:rPr>
          <w:rFonts w:ascii="Times New Roman" w:hAnsi="Times New Roman" w:cs="Times New Roman"/>
          <w:color w:val="000000"/>
        </w:rPr>
        <w:t>Kobil</w:t>
      </w:r>
      <w:proofErr w:type="spellEnd"/>
      <w:r>
        <w:rPr>
          <w:rFonts w:ascii="Times New Roman" w:hAnsi="Times New Roman" w:cs="Times New Roman"/>
          <w:color w:val="000000"/>
        </w:rPr>
        <w:t xml:space="preserve"> was of the view that both parties were</w:t>
      </w:r>
      <w:r w:rsidR="007E66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conscious of the provisions of Clause 18 of their contract and that is why they made it an issue</w:t>
      </w:r>
      <w:r w:rsidR="007E66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determinable by the arbitral tribunal. If it was objectionable in law to commence the arbitral proceedings</w:t>
      </w:r>
      <w:r w:rsidR="007E66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the ground that there was no pleading made in relation to negligence and therefore the matter was not</w:t>
      </w:r>
      <w:r w:rsidR="007E66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suitable for arbitration, then the issue could have been raised under section 17</w:t>
      </w:r>
      <w:r w:rsidR="007E6620">
        <w:rPr>
          <w:rFonts w:ascii="Times New Roman" w:hAnsi="Times New Roman" w:cs="Times New Roman"/>
          <w:color w:val="000000"/>
        </w:rPr>
        <w:t xml:space="preserve"> </w:t>
      </w:r>
    </w:p>
    <w:p w:rsidR="007E6620" w:rsidRDefault="007E6620" w:rsidP="0080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7E6620" w:rsidRDefault="00803BB6" w:rsidP="0080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3) </w:t>
      </w:r>
      <w:proofErr w:type="gramStart"/>
      <w:r>
        <w:rPr>
          <w:rFonts w:ascii="Times New Roman" w:hAnsi="Times New Roman" w:cs="Times New Roman"/>
          <w:color w:val="000000"/>
        </w:rPr>
        <w:t>of</w:t>
      </w:r>
      <w:proofErr w:type="gramEnd"/>
      <w:r>
        <w:rPr>
          <w:rFonts w:ascii="Times New Roman" w:hAnsi="Times New Roman" w:cs="Times New Roman"/>
          <w:color w:val="000000"/>
        </w:rPr>
        <w:t xml:space="preserve"> the Arbitration Act,</w:t>
      </w:r>
      <w:r w:rsidR="007E66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but it was not. It was therefore a waiver of the remedy and the applicant cannot be heard to raise it at a</w:t>
      </w:r>
      <w:r w:rsidR="007E66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late stage. On the contrary the applicant went ahead and called several witnesses and produced numerous</w:t>
      </w:r>
      <w:r w:rsidR="007E66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records to disprove the claim as laid before the tribunal. The tribunal cannot in </w:t>
      </w:r>
      <w:r>
        <w:rPr>
          <w:rFonts w:ascii="Times New Roman" w:hAnsi="Times New Roman" w:cs="Times New Roman"/>
          <w:color w:val="000000"/>
        </w:rPr>
        <w:lastRenderedPageBreak/>
        <w:t>the circumstances be</w:t>
      </w:r>
      <w:r w:rsidR="007E66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faulted for having considered those matters which by their own consent, the parties wanted determined.</w:t>
      </w:r>
      <w:r w:rsidR="007E66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parties gave power, authority and jurisdiction to the arbitrators and their decision was therefore</w:t>
      </w:r>
      <w:r w:rsidR="007E66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within, not outside the law. He cited for support of that submission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Kihuni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Gakunga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another</w:t>
      </w:r>
      <w:r w:rsidR="007E6620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[1986] KLR 572 where the court held that:</w:t>
      </w:r>
      <w:r w:rsidR="007E66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“A party cannot be heard to challenge issues referred to arbitration especially in a case such as this where the</w:t>
      </w:r>
      <w:r w:rsidR="007E662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parties and their respective advocates drew the issues. The parties are deemed to know the real questions</w:t>
      </w:r>
      <w:r w:rsidR="007E662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between them. The arbitrators will consider evidence on issues which are referred to them.”</w:t>
      </w:r>
      <w:r w:rsidR="007E662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Clause 18, according to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Oyatsi</w:t>
      </w:r>
      <w:proofErr w:type="spellEnd"/>
      <w:r>
        <w:rPr>
          <w:rFonts w:ascii="Times New Roman" w:hAnsi="Times New Roman" w:cs="Times New Roman"/>
          <w:color w:val="000000"/>
        </w:rPr>
        <w:t>, did not bind the arbitrators to make a finding as to whether there was</w:t>
      </w:r>
      <w:r w:rsidR="007E66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negligence. Negligence was not an issue. Damages were to be awarded, or not awarded, on the basis of</w:t>
      </w:r>
      <w:r w:rsidR="007E66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interpretation of Clause 18 which was left to the arbitrators, a duty which the arbitrators carried out. The</w:t>
      </w:r>
      <w:r w:rsidR="007E66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award thus became final.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Oyasti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emphasised</w:t>
      </w:r>
      <w:proofErr w:type="spellEnd"/>
      <w:r>
        <w:rPr>
          <w:rFonts w:ascii="Times New Roman" w:hAnsi="Times New Roman" w:cs="Times New Roman"/>
          <w:color w:val="000000"/>
        </w:rPr>
        <w:t xml:space="preserve"> the issue of finality as a guiding principle in arbitrations</w:t>
      </w:r>
      <w:r w:rsidR="007E66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drew our attention to the commercial purpose for which the Arbitration Act 4 of 1995 was enacted.</w:t>
      </w:r>
      <w:r w:rsidR="007E66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 submitted that there was nothing novel about the issues intended to be raised and there was therefore</w:t>
      </w:r>
      <w:r w:rsidR="007E66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 basis for exercise of discretion by this Court in favour of the applicant.</w:t>
      </w:r>
      <w:r w:rsidR="007E66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 have anxiously considered the application and the lucid submissions on both sides. We thank both</w:t>
      </w:r>
      <w:r w:rsidR="007E66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counsel for their assistance and for the generous dose of legal authorities which we regret we shall not</w:t>
      </w:r>
      <w:r w:rsidR="007E66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make full reference to, but have perused. In the end however, we have come to the conclusion that we</w:t>
      </w:r>
      <w:r w:rsidR="007E66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will not exercise our discretion in this matter in favour of the applicant.</w:t>
      </w:r>
      <w:r w:rsidR="007E66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Arbitration is one of several dispute resolution methods that parties may choose to adopt outside the</w:t>
      </w:r>
      <w:r w:rsidR="007E66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courts in this country. The parties may either opt for it in the course of litigation under Order XLV of the</w:t>
      </w:r>
      <w:r w:rsidR="007E66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Civil Procedure Rules or provide for it in contractual obligations in which event the Arbitration Act 4 of</w:t>
      </w:r>
      <w:r w:rsidR="007E66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1995 </w:t>
      </w:r>
      <w:r w:rsidR="007E6620">
        <w:rPr>
          <w:rFonts w:ascii="Times New Roman" w:hAnsi="Times New Roman" w:cs="Times New Roman"/>
          <w:color w:val="000000"/>
        </w:rPr>
        <w:t xml:space="preserve"> </w:t>
      </w:r>
    </w:p>
    <w:p w:rsidR="007E6620" w:rsidRDefault="007E6620" w:rsidP="0080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7E6620" w:rsidRDefault="00803BB6" w:rsidP="0080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“</w:t>
      </w:r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Act”) would apply and the courts take a back seat. In the matter before us, the parties had an</w:t>
      </w:r>
      <w:r w:rsidR="007E66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arbitration clause and therefore the Act applies. The Act, which came into operation on 2 January 1996,</w:t>
      </w:r>
      <w:r w:rsidR="007E66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the rules thereunder, repealed and replaced Chapter 49 Laws of Kenya, and the rules thereunder,</w:t>
      </w:r>
      <w:r w:rsidR="007E66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had governed arbitration matters since 1968. A comparison of the two pieces of legislation</w:t>
      </w:r>
      <w:r w:rsidR="007E66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underscores an important message introduced by the latter Act: the finality of disputes and a severe</w:t>
      </w:r>
      <w:r w:rsidR="007E66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limitation of access to the courts. Sections 6, 10, 12, 15, 17, 18, 28, 35 and 39 of the Act are particularly</w:t>
      </w:r>
      <w:r w:rsidR="007E66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relevant in that regard. The message, we think, is a pointer to the public policy the country takes at this</w:t>
      </w:r>
      <w:r w:rsidR="007E66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stage in its development.</w:t>
      </w:r>
      <w:r w:rsidR="007E66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Public policy, which is a factor we may consider in the exercise of our discretion, is of course an</w:t>
      </w:r>
      <w:r w:rsidR="007E66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indeterminate principle or doctrine. In years of yore, it was branded “an unruly horse, and when you get</w:t>
      </w:r>
      <w:r w:rsidR="007E66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astride it, you never know where it will carry you”. </w:t>
      </w:r>
      <w:r>
        <w:rPr>
          <w:rFonts w:ascii="Times New Roman" w:hAnsi="Times New Roman" w:cs="Times New Roman"/>
          <w:i/>
          <w:iCs/>
          <w:color w:val="000000"/>
        </w:rPr>
        <w:t xml:space="preserve">Richardson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Mellish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[1824] 2 Bing 229.</w:t>
      </w:r>
      <w:r w:rsidR="007E66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Nevertheless, it clearly has reference to ideas which for the time being prevail in a country as to the</w:t>
      </w:r>
      <w:r w:rsidR="007E66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conditions necessary to ensure its welfare. It is variable and must fluctuate with the circumstances of the</w:t>
      </w:r>
      <w:r w:rsidR="007E66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time. </w:t>
      </w:r>
      <w:proofErr w:type="spellStart"/>
      <w:r>
        <w:rPr>
          <w:rFonts w:ascii="Times New Roman" w:hAnsi="Times New Roman" w:cs="Times New Roman"/>
          <w:color w:val="000000"/>
        </w:rPr>
        <w:t>Ringera</w:t>
      </w:r>
      <w:proofErr w:type="spellEnd"/>
      <w:r>
        <w:rPr>
          <w:rFonts w:ascii="Times New Roman" w:hAnsi="Times New Roman" w:cs="Times New Roman"/>
          <w:color w:val="000000"/>
        </w:rPr>
        <w:t xml:space="preserve"> J </w:t>
      </w:r>
      <w:r w:rsidR="007E6620">
        <w:rPr>
          <w:rFonts w:ascii="Times New Roman" w:hAnsi="Times New Roman" w:cs="Times New Roman"/>
          <w:color w:val="000000"/>
        </w:rPr>
        <w:t xml:space="preserve"> </w:t>
      </w:r>
    </w:p>
    <w:p w:rsidR="007E6620" w:rsidRDefault="007E6620" w:rsidP="0080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7E6620" w:rsidRDefault="00803BB6" w:rsidP="0080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</w:rPr>
        <w:t>as</w:t>
      </w:r>
      <w:proofErr w:type="gramEnd"/>
      <w:r>
        <w:rPr>
          <w:rFonts w:ascii="Times New Roman" w:hAnsi="Times New Roman" w:cs="Times New Roman"/>
          <w:color w:val="000000"/>
        </w:rPr>
        <w:t xml:space="preserve"> he then was) examined several authorities in </w:t>
      </w:r>
      <w:r>
        <w:rPr>
          <w:rFonts w:ascii="Times New Roman" w:hAnsi="Times New Roman" w:cs="Times New Roman"/>
          <w:i/>
          <w:iCs/>
          <w:color w:val="000000"/>
        </w:rPr>
        <w:t>Christ for all Nationals v Apollo</w:t>
      </w:r>
      <w:r w:rsidR="007E6620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Insurance Company Limited </w:t>
      </w:r>
      <w:r>
        <w:rPr>
          <w:rFonts w:ascii="Times New Roman" w:hAnsi="Times New Roman" w:cs="Times New Roman"/>
          <w:color w:val="000000"/>
        </w:rPr>
        <w:t>[2002] 2 EA 366 and formed the view that:</w:t>
      </w:r>
      <w:r w:rsidR="007E66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“Although public policy is a most broad concept incapable of precise definition. . .an award could be set aside</w:t>
      </w:r>
      <w:r w:rsidR="007E662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under section 35</w:t>
      </w:r>
      <w:r w:rsidR="007E662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7E6620" w:rsidRDefault="007E6620" w:rsidP="0080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7E6620" w:rsidRDefault="00803BB6" w:rsidP="0080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2)</w:t>
      </w:r>
      <w:r w:rsidR="007E662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7E6620" w:rsidRDefault="007E6620" w:rsidP="0080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7E6620" w:rsidRDefault="00803BB6" w:rsidP="0080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</w:t>
      </w:r>
      <w:r w:rsidR="007E662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7E6620" w:rsidRDefault="007E6620" w:rsidP="0080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7E6620" w:rsidRDefault="00803BB6" w:rsidP="0080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ii)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Arbitration Act as being inconsistent with the public policy of Kenya if it was</w:t>
      </w:r>
      <w:r w:rsidR="007E662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shown that either it was:</w:t>
      </w:r>
      <w:r w:rsidR="007E6620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</w:p>
    <w:p w:rsidR="007E6620" w:rsidRDefault="007E6620" w:rsidP="0080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7E6620" w:rsidRDefault="00803BB6" w:rsidP="0080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) Inconsistent with the Constitution or other laws of Kenya, whether written or unwritten; or</w:t>
      </w:r>
      <w:r w:rsidR="007E6620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</w:p>
    <w:p w:rsidR="007E6620" w:rsidRDefault="007E6620" w:rsidP="0080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7E6620" w:rsidRDefault="00803BB6" w:rsidP="0080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) Inimical to the national interest of Kenya; or</w:t>
      </w:r>
      <w:r w:rsidR="007E6620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</w:p>
    <w:p w:rsidR="007E6620" w:rsidRDefault="007E6620" w:rsidP="0080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7E6620" w:rsidRDefault="00803BB6" w:rsidP="0080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z w:val="20"/>
          <w:szCs w:val="20"/>
        </w:rPr>
        <w:t>) Contrary to justice and morality.”</w:t>
      </w:r>
      <w:r w:rsidR="007E662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matter before us has of course nothing to do with section 35</w:t>
      </w:r>
      <w:r w:rsidR="007E6620">
        <w:rPr>
          <w:rFonts w:ascii="Times New Roman" w:hAnsi="Times New Roman" w:cs="Times New Roman"/>
          <w:color w:val="000000"/>
        </w:rPr>
        <w:t xml:space="preserve"> </w:t>
      </w:r>
    </w:p>
    <w:p w:rsidR="007E6620" w:rsidRDefault="007E6620" w:rsidP="0080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7E6620" w:rsidRDefault="00803BB6" w:rsidP="0080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2)</w:t>
      </w:r>
      <w:r w:rsidR="007E6620">
        <w:rPr>
          <w:rFonts w:ascii="Times New Roman" w:hAnsi="Times New Roman" w:cs="Times New Roman"/>
          <w:color w:val="000000"/>
        </w:rPr>
        <w:t xml:space="preserve"> </w:t>
      </w:r>
    </w:p>
    <w:p w:rsidR="007E6620" w:rsidRDefault="007E6620" w:rsidP="0080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7E6620" w:rsidRDefault="00803BB6" w:rsidP="0080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</w:t>
      </w:r>
      <w:r w:rsidR="007E6620">
        <w:rPr>
          <w:rFonts w:ascii="Times New Roman" w:hAnsi="Times New Roman" w:cs="Times New Roman"/>
          <w:color w:val="000000"/>
        </w:rPr>
        <w:t xml:space="preserve"> </w:t>
      </w:r>
    </w:p>
    <w:p w:rsidR="007E6620" w:rsidRDefault="007E6620" w:rsidP="0080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7E6620" w:rsidRDefault="00803BB6" w:rsidP="0080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ii) </w:t>
      </w:r>
      <w:r w:rsidR="007E6620">
        <w:rPr>
          <w:rFonts w:ascii="Times New Roman" w:hAnsi="Times New Roman" w:cs="Times New Roman"/>
          <w:color w:val="000000"/>
        </w:rPr>
        <w:t xml:space="preserve"> </w:t>
      </w:r>
    </w:p>
    <w:p w:rsidR="007E6620" w:rsidRDefault="007E6620" w:rsidP="0080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7E6620" w:rsidRDefault="00803BB6" w:rsidP="0080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supra</w:t>
      </w:r>
      <w:proofErr w:type="gramEnd"/>
      <w:r>
        <w:rPr>
          <w:rFonts w:ascii="Times New Roman" w:hAnsi="Times New Roman" w:cs="Times New Roman"/>
          <w:color w:val="000000"/>
        </w:rPr>
        <w:t>). But, in our view,</w:t>
      </w:r>
      <w:r w:rsidR="007E66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public policy considerations may </w:t>
      </w:r>
      <w:proofErr w:type="spellStart"/>
      <w:r>
        <w:rPr>
          <w:rFonts w:ascii="Times New Roman" w:hAnsi="Times New Roman" w:cs="Times New Roman"/>
          <w:color w:val="000000"/>
        </w:rPr>
        <w:t>enure</w:t>
      </w:r>
      <w:proofErr w:type="spellEnd"/>
      <w:r>
        <w:rPr>
          <w:rFonts w:ascii="Times New Roman" w:hAnsi="Times New Roman" w:cs="Times New Roman"/>
          <w:color w:val="000000"/>
        </w:rPr>
        <w:t xml:space="preserve"> in favour of granting leave to appeal as they would to discourage</w:t>
      </w:r>
      <w:r w:rsidR="007E66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it. We think, as a matter of public policy, it is in the public interest that there should be an end to</w:t>
      </w:r>
      <w:r w:rsidR="007E66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litigation and the Arbitration Act under which the proceedings in this matter were</w:t>
      </w:r>
      <w:r w:rsidR="007E66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conducted underscores that policy. Do we think there is a realistic prospect of success of the intended</w:t>
      </w:r>
      <w:r w:rsidR="007E66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 or, put another way, is there a ground of appeal that merits serious judicial consideration? We</w:t>
      </w:r>
      <w:r w:rsidR="007E66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think not.</w:t>
      </w:r>
      <w:r w:rsidR="007E66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only ground taken up by the applicant to challenge the award was under section 35</w:t>
      </w:r>
      <w:r w:rsidR="007E6620">
        <w:rPr>
          <w:rFonts w:ascii="Times New Roman" w:hAnsi="Times New Roman" w:cs="Times New Roman"/>
          <w:color w:val="000000"/>
        </w:rPr>
        <w:t xml:space="preserve"> </w:t>
      </w:r>
    </w:p>
    <w:p w:rsidR="007E6620" w:rsidRDefault="007E6620" w:rsidP="0080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7E6620" w:rsidRDefault="00803BB6" w:rsidP="0080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2)</w:t>
      </w:r>
      <w:r w:rsidR="007E6620">
        <w:rPr>
          <w:rFonts w:ascii="Times New Roman" w:hAnsi="Times New Roman" w:cs="Times New Roman"/>
          <w:color w:val="000000"/>
        </w:rPr>
        <w:t xml:space="preserve"> </w:t>
      </w:r>
    </w:p>
    <w:p w:rsidR="007E6620" w:rsidRDefault="007E6620" w:rsidP="0080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7E6620" w:rsidRDefault="00803BB6" w:rsidP="0080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</w:t>
      </w:r>
      <w:r w:rsidR="007E6620">
        <w:rPr>
          <w:rFonts w:ascii="Times New Roman" w:hAnsi="Times New Roman" w:cs="Times New Roman"/>
          <w:color w:val="000000"/>
        </w:rPr>
        <w:t xml:space="preserve"> </w:t>
      </w:r>
    </w:p>
    <w:p w:rsidR="007E6620" w:rsidRDefault="007E6620" w:rsidP="0080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803BB6" w:rsidRDefault="00803BB6" w:rsidP="0080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iv) </w:t>
      </w:r>
      <w:proofErr w:type="gramStart"/>
      <w:r>
        <w:rPr>
          <w:rFonts w:ascii="Times New Roman" w:hAnsi="Times New Roman" w:cs="Times New Roman"/>
          <w:color w:val="000000"/>
        </w:rPr>
        <w:t>of</w:t>
      </w:r>
      <w:proofErr w:type="gramEnd"/>
      <w:r w:rsidR="007E66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Act. The plain reading of that provision and the issues submitted to the tribunal for adjudication does</w:t>
      </w:r>
      <w:r w:rsidR="007E66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reveal that the tribunal went outside its jurisdiction. The argument intended to be advanced that</w:t>
      </w:r>
      <w:r w:rsidR="007E66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clause 18 was not considered at all or was considered outside the context of the agreement between the</w:t>
      </w:r>
      <w:r w:rsidR="007E66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parties is, in our view, fanciful. It was in fact considered and if it is the contention that the tribunal</w:t>
      </w:r>
      <w:r w:rsidR="007E66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completely misconstrued the clause in law, then we say with the Superior Court that there was no</w:t>
      </w:r>
      <w:r w:rsidR="007E66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challenge made in that respect before it and it does not arise before this Court. At all events the tribunal</w:t>
      </w:r>
      <w:r w:rsidR="007E66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bound to make a decision that did not necessarily sit well with either of the parties. It would</w:t>
      </w:r>
      <w:r w:rsidR="007E66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nevertheless be a final decision under section 10 of the Act unless either party can satisfy that court that</w:t>
      </w:r>
      <w:r w:rsidR="007E66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ought to be lawfully set aside. In this case the decision was final. We do not feel compelled therefore to</w:t>
      </w:r>
      <w:r w:rsidR="007E66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extend the agony of this litigation on account of the issues raised by the applicant. As stated earlier, we</w:t>
      </w:r>
      <w:r w:rsidR="007E66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decline to exercise our discretion in favour of the applicant and we dismiss the application with costs.</w:t>
      </w:r>
      <w:r w:rsidR="007E66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applicant:</w:t>
      </w:r>
      <w:r w:rsidR="007E6620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Kimani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Kiragu</w:t>
      </w:r>
      <w:proofErr w:type="spellEnd"/>
    </w:p>
    <w:p w:rsidR="00803BB6" w:rsidRDefault="00803BB6" w:rsidP="00803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AB7022" w:rsidRDefault="00803BB6" w:rsidP="00803BB6"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Oyatsi</w:t>
      </w:r>
      <w:proofErr w:type="spellEnd"/>
    </w:p>
    <w:sectPr w:rsidR="00AB7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BB6"/>
    <w:rsid w:val="007E6620"/>
    <w:rsid w:val="00803BB6"/>
    <w:rsid w:val="00AB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434D9C-EF6C-474E-B4DE-30006A49B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3191</Words>
  <Characters>18190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2018-07-05T06:24:00Z</dcterms:created>
  <dcterms:modified xsi:type="dcterms:W3CDTF">2018-07-12T20:11:00Z</dcterms:modified>
</cp:coreProperties>
</file>